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B" w:rsidRDefault="00F36EFB" w:rsidP="0005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Звіт </w:t>
      </w:r>
    </w:p>
    <w:p w:rsidR="000551C1" w:rsidRPr="00E34F9A" w:rsidRDefault="00F36EFB" w:rsidP="0005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повторне</w:t>
      </w:r>
      <w:r w:rsidR="000551C1" w:rsidRPr="00E34F9A">
        <w:rPr>
          <w:rFonts w:ascii="Times New Roman" w:hAnsi="Times New Roman"/>
          <w:b/>
          <w:sz w:val="24"/>
          <w:szCs w:val="24"/>
          <w:lang w:val="uk-UA"/>
        </w:rPr>
        <w:t xml:space="preserve"> відстеження  регуляторного акт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</w:p>
    <w:p w:rsidR="000551C1" w:rsidRPr="00E34F9A" w:rsidRDefault="000551C1" w:rsidP="0005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4F9A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</w:t>
      </w:r>
      <w:r w:rsidRPr="00D604B3">
        <w:rPr>
          <w:rFonts w:ascii="Times New Roman" w:hAnsi="Times New Roman"/>
          <w:b/>
          <w:sz w:val="24"/>
          <w:szCs w:val="24"/>
          <w:lang w:val="uk-UA"/>
        </w:rPr>
        <w:t>здійснення самоврядного контролю за використанням та охороною земель територіальної громади м. Біла Церква</w:t>
      </w:r>
      <w:r w:rsidRPr="00E34F9A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0551C1" w:rsidRPr="00D95AD0" w:rsidRDefault="000551C1" w:rsidP="000551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51C1" w:rsidRPr="00215B08" w:rsidRDefault="000551C1" w:rsidP="000551C1">
      <w:pPr>
        <w:pStyle w:val="1"/>
        <w:numPr>
          <w:ilvl w:val="0"/>
          <w:numId w:val="1"/>
        </w:numPr>
        <w:tabs>
          <w:tab w:val="left" w:pos="0"/>
        </w:tabs>
        <w:ind w:right="-5"/>
        <w:rPr>
          <w:rFonts w:ascii="Times New Roman" w:hAnsi="Times New Roman"/>
          <w:b/>
          <w:sz w:val="24"/>
          <w:szCs w:val="24"/>
          <w:lang w:val="uk-UA"/>
        </w:rPr>
      </w:pPr>
      <w:r w:rsidRPr="00215B08">
        <w:rPr>
          <w:rFonts w:ascii="Times New Roman" w:hAnsi="Times New Roman"/>
          <w:b/>
          <w:sz w:val="24"/>
          <w:szCs w:val="24"/>
          <w:lang w:val="uk-UA"/>
        </w:rPr>
        <w:t>Загальні відомості про регуляторний акт:</w:t>
      </w:r>
    </w:p>
    <w:p w:rsidR="000551C1" w:rsidRDefault="000551C1" w:rsidP="000551C1">
      <w:pPr>
        <w:pStyle w:val="1"/>
        <w:tabs>
          <w:tab w:val="left" w:pos="0"/>
        </w:tabs>
        <w:ind w:left="360"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D95AD0">
        <w:rPr>
          <w:rFonts w:ascii="Times New Roman" w:hAnsi="Times New Roman"/>
          <w:sz w:val="24"/>
          <w:szCs w:val="24"/>
          <w:lang w:val="uk-UA"/>
        </w:rPr>
        <w:t>ішення Білоцерківської міської ради</w:t>
      </w:r>
      <w:r w:rsidRPr="00817C0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07 вересня 2017 року </w:t>
      </w:r>
      <w:r w:rsidRPr="00965FA1">
        <w:rPr>
          <w:rFonts w:ascii="Times New Roman" w:hAnsi="Times New Roman"/>
          <w:sz w:val="24"/>
          <w:szCs w:val="24"/>
          <w:lang w:val="uk-UA"/>
        </w:rPr>
        <w:t>№1120-35-VIІ</w:t>
      </w:r>
      <w:r w:rsidRPr="00D95AD0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Про затвердження П</w:t>
      </w:r>
      <w:r w:rsidRPr="00D604B3">
        <w:rPr>
          <w:rFonts w:ascii="Times New Roman" w:hAnsi="Times New Roman"/>
          <w:sz w:val="24"/>
          <w:szCs w:val="24"/>
          <w:lang w:val="uk-UA"/>
        </w:rPr>
        <w:t>орядку здійснення самоврядного контролю за використанням та охороною земель територіальної громади м. Біла Церква</w:t>
      </w:r>
      <w:r w:rsidRPr="00D95AD0">
        <w:rPr>
          <w:rFonts w:ascii="Times New Roman" w:hAnsi="Times New Roman"/>
          <w:sz w:val="24"/>
          <w:szCs w:val="24"/>
          <w:lang w:val="uk-UA"/>
        </w:rPr>
        <w:t>».</w:t>
      </w:r>
    </w:p>
    <w:p w:rsidR="000551C1" w:rsidRDefault="000551C1" w:rsidP="000551C1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AD0">
        <w:rPr>
          <w:rFonts w:ascii="Times New Roman" w:hAnsi="Times New Roman"/>
          <w:b/>
          <w:sz w:val="24"/>
          <w:szCs w:val="24"/>
          <w:lang w:val="uk-UA"/>
        </w:rPr>
        <w:t>Виконавець заходів з відстеження:</w:t>
      </w:r>
      <w:r w:rsidRPr="00D95A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551C1" w:rsidRDefault="000551C1" w:rsidP="000551C1">
      <w:pPr>
        <w:pStyle w:val="1"/>
        <w:tabs>
          <w:tab w:val="left" w:pos="0"/>
        </w:tabs>
        <w:ind w:left="360" w:right="-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AD0">
        <w:rPr>
          <w:rFonts w:ascii="Times New Roman" w:hAnsi="Times New Roman"/>
          <w:color w:val="000000"/>
          <w:sz w:val="24"/>
          <w:szCs w:val="24"/>
          <w:lang w:val="uk-UA"/>
        </w:rPr>
        <w:t>Управлінн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D95A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самоврядного контролю</w:t>
      </w:r>
      <w:r w:rsidRPr="00D95AD0">
        <w:rPr>
          <w:rFonts w:ascii="Times New Roman" w:hAnsi="Times New Roman"/>
          <w:color w:val="000000"/>
          <w:sz w:val="24"/>
          <w:szCs w:val="24"/>
          <w:lang w:val="uk-UA"/>
        </w:rPr>
        <w:t xml:space="preserve"> Білоцерківської міської ради.</w:t>
      </w:r>
    </w:p>
    <w:p w:rsidR="000551C1" w:rsidRPr="00C27FD9" w:rsidRDefault="000551C1" w:rsidP="000551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5B08">
        <w:rPr>
          <w:rFonts w:ascii="Times New Roman" w:hAnsi="Times New Roman"/>
          <w:b/>
          <w:sz w:val="24"/>
          <w:szCs w:val="24"/>
          <w:lang w:val="uk-UA"/>
        </w:rPr>
        <w:t>Цілі прийняття регуляторного акта:</w:t>
      </w:r>
    </w:p>
    <w:p w:rsidR="000551C1" w:rsidRDefault="000551C1" w:rsidP="0005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законодавче врегулювання </w:t>
      </w: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>системи самоврядного контролю 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>використанням та охороною земель територіальної  грома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ди міста Біла Церква;</w:t>
      </w:r>
    </w:p>
    <w:p w:rsidR="000551C1" w:rsidRDefault="000551C1" w:rsidP="0005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>запобігання порушення законодавства України в сфері використання та охорони земель територіал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ьної  громади міста Біла Церква;</w:t>
      </w:r>
    </w:p>
    <w:p w:rsidR="000551C1" w:rsidRPr="0012091F" w:rsidRDefault="000551C1" w:rsidP="000551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забезпечення своєчасного</w:t>
      </w: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 xml:space="preserve"> виявлення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порушень </w:t>
      </w: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>законодавства України в сфері використання та охорони земель територіал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ьної  громади міста Біла Церква</w:t>
      </w: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вжиття заходів щодо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їх</w:t>
      </w:r>
      <w:r w:rsidRPr="00D604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36EFB">
        <w:rPr>
          <w:rFonts w:ascii="Times New Roman" w:hAnsi="Times New Roman"/>
          <w:color w:val="000000"/>
          <w:sz w:val="24"/>
          <w:szCs w:val="24"/>
          <w:lang w:val="uk-UA"/>
        </w:rPr>
        <w:t>усунення.</w:t>
      </w:r>
    </w:p>
    <w:p w:rsidR="000551C1" w:rsidRPr="00BC6D7B" w:rsidRDefault="000551C1" w:rsidP="000551C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C6D7B">
        <w:rPr>
          <w:rFonts w:ascii="Times New Roman" w:hAnsi="Times New Roman"/>
          <w:b/>
          <w:sz w:val="24"/>
          <w:szCs w:val="24"/>
          <w:lang w:val="uk-UA"/>
        </w:rPr>
        <w:t>Строк виконання заходів з відстеження:</w:t>
      </w:r>
      <w:r w:rsidRPr="00BC6D7B">
        <w:rPr>
          <w:rFonts w:ascii="Times New Roman" w:hAnsi="Times New Roman"/>
          <w:sz w:val="24"/>
          <w:szCs w:val="24"/>
          <w:lang w:val="uk-UA"/>
        </w:rPr>
        <w:t xml:space="preserve"> з 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C6D7B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C6D7B">
        <w:rPr>
          <w:rFonts w:ascii="Times New Roman" w:hAnsi="Times New Roman"/>
          <w:sz w:val="24"/>
          <w:szCs w:val="24"/>
          <w:lang w:val="uk-UA"/>
        </w:rPr>
        <w:t>.201</w:t>
      </w:r>
      <w:bookmarkStart w:id="0" w:name="_GoBack"/>
      <w:bookmarkEnd w:id="0"/>
      <w:r w:rsidR="00365A3A">
        <w:rPr>
          <w:rFonts w:ascii="Times New Roman" w:hAnsi="Times New Roman"/>
          <w:sz w:val="24"/>
          <w:szCs w:val="24"/>
          <w:lang w:val="uk-UA"/>
        </w:rPr>
        <w:t>8</w:t>
      </w:r>
      <w:r w:rsidRPr="00BC6D7B">
        <w:rPr>
          <w:rFonts w:ascii="Times New Roman" w:hAnsi="Times New Roman"/>
          <w:sz w:val="24"/>
          <w:szCs w:val="24"/>
          <w:lang w:val="uk-UA"/>
        </w:rPr>
        <w:t xml:space="preserve"> р. по 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C6D7B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BC6D7B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C6D7B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0551C1" w:rsidRPr="00D95AD0" w:rsidRDefault="000551C1" w:rsidP="000551C1">
      <w:pPr>
        <w:pStyle w:val="1"/>
        <w:numPr>
          <w:ilvl w:val="0"/>
          <w:numId w:val="1"/>
        </w:numPr>
        <w:tabs>
          <w:tab w:val="left" w:pos="0"/>
        </w:tabs>
        <w:ind w:right="-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5B08">
        <w:rPr>
          <w:rFonts w:ascii="Times New Roman" w:hAnsi="Times New Roman"/>
          <w:b/>
          <w:color w:val="000000"/>
          <w:sz w:val="24"/>
          <w:szCs w:val="24"/>
          <w:lang w:val="uk-UA"/>
        </w:rPr>
        <w:t>Тип відстеження: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повторне</w:t>
      </w:r>
      <w:r w:rsidRPr="00D95AD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51C1" w:rsidRPr="00B523BE" w:rsidRDefault="000551C1" w:rsidP="000551C1">
      <w:pPr>
        <w:pStyle w:val="1"/>
        <w:numPr>
          <w:ilvl w:val="0"/>
          <w:numId w:val="1"/>
        </w:numPr>
        <w:tabs>
          <w:tab w:val="left" w:pos="0"/>
        </w:tabs>
        <w:ind w:right="-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5B0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Методи одержання результатів базового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від</w:t>
      </w:r>
      <w:r w:rsidRPr="00215B08">
        <w:rPr>
          <w:rFonts w:ascii="Times New Roman" w:hAnsi="Times New Roman"/>
          <w:b/>
          <w:color w:val="000000"/>
          <w:sz w:val="24"/>
          <w:szCs w:val="24"/>
          <w:lang w:val="uk-UA"/>
        </w:rPr>
        <w:t>стеження:</w:t>
      </w:r>
    </w:p>
    <w:p w:rsidR="000551C1" w:rsidRPr="007445F1" w:rsidRDefault="000551C1" w:rsidP="000551C1">
      <w:pPr>
        <w:pStyle w:val="1"/>
        <w:tabs>
          <w:tab w:val="left" w:pos="0"/>
        </w:tabs>
        <w:ind w:left="360" w:right="-5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23BE">
        <w:rPr>
          <w:rFonts w:ascii="Times New Roman" w:hAnsi="Times New Roman"/>
          <w:color w:val="000000"/>
          <w:sz w:val="24"/>
          <w:szCs w:val="24"/>
          <w:lang w:val="uk-UA"/>
        </w:rPr>
        <w:t>Методом відстеження</w:t>
      </w:r>
      <w:r w:rsidRPr="00215B0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B523BE">
        <w:rPr>
          <w:rFonts w:ascii="Times New Roman" w:hAnsi="Times New Roman"/>
          <w:color w:val="000000"/>
          <w:sz w:val="24"/>
          <w:szCs w:val="24"/>
          <w:lang w:val="uk-UA"/>
        </w:rPr>
        <w:t>результатів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є аналіз статистичних даних.</w:t>
      </w:r>
    </w:p>
    <w:p w:rsidR="000551C1" w:rsidRPr="00C27FD9" w:rsidRDefault="000551C1" w:rsidP="000551C1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17C0C">
        <w:rPr>
          <w:rFonts w:ascii="Times New Roman" w:hAnsi="Times New Roman"/>
          <w:b/>
          <w:color w:val="000000"/>
          <w:sz w:val="24"/>
          <w:szCs w:val="24"/>
          <w:lang w:val="uk-UA"/>
        </w:rPr>
        <w:t>Дані та припущення, на основі яких відстежується результативність, 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також способи одержання даних</w:t>
      </w:r>
      <w:r w:rsidRPr="00817C0C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статистичний метод одержання даних.</w:t>
      </w:r>
    </w:p>
    <w:p w:rsidR="000551C1" w:rsidRPr="00965FA1" w:rsidRDefault="000551C1" w:rsidP="000551C1">
      <w:pPr>
        <w:pStyle w:val="1"/>
        <w:numPr>
          <w:ilvl w:val="0"/>
          <w:numId w:val="1"/>
        </w:numPr>
        <w:tabs>
          <w:tab w:val="left" w:pos="0"/>
        </w:tabs>
        <w:ind w:right="-5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Кількісні та якісні з</w:t>
      </w:r>
      <w:r w:rsidRPr="00F6605E">
        <w:rPr>
          <w:rFonts w:ascii="Times New Roman" w:hAnsi="Times New Roman"/>
          <w:b/>
          <w:sz w:val="24"/>
          <w:szCs w:val="24"/>
          <w:lang w:val="uk-UA"/>
        </w:rPr>
        <w:t>начення показників результативності дії регуляторного акта:</w:t>
      </w:r>
    </w:p>
    <w:p w:rsidR="000551C1" w:rsidRDefault="000551C1" w:rsidP="000551C1">
      <w:pPr>
        <w:pStyle w:val="1"/>
        <w:tabs>
          <w:tab w:val="left" w:pos="426"/>
        </w:tabs>
        <w:ind w:left="284" w:right="-5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1C1" w:rsidRDefault="000551C1" w:rsidP="000551C1">
      <w:pPr>
        <w:pStyle w:val="1"/>
        <w:tabs>
          <w:tab w:val="left" w:pos="426"/>
        </w:tabs>
        <w:ind w:left="284" w:right="-5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562"/>
        <w:gridCol w:w="4819"/>
        <w:gridCol w:w="3962"/>
      </w:tblGrid>
      <w:tr w:rsidR="000551C1" w:rsidTr="000551C1">
        <w:tc>
          <w:tcPr>
            <w:tcW w:w="562" w:type="dxa"/>
          </w:tcPr>
          <w:p w:rsidR="000551C1" w:rsidRPr="000551C1" w:rsidRDefault="000551C1" w:rsidP="000551C1">
            <w:pPr>
              <w:pStyle w:val="1"/>
              <w:tabs>
                <w:tab w:val="left" w:pos="426"/>
              </w:tabs>
              <w:ind w:left="0" w:right="-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1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F36E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819" w:type="dxa"/>
          </w:tcPr>
          <w:p w:rsidR="00F36EFB" w:rsidRDefault="00F36EFB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51C1" w:rsidRPr="000551C1" w:rsidRDefault="000551C1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1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962" w:type="dxa"/>
          </w:tcPr>
          <w:p w:rsidR="00F36EFB" w:rsidRDefault="00F36EFB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51C1" w:rsidRPr="000551C1" w:rsidRDefault="000551C1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1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07.09.2017 року по 07.09.2018 року</w:t>
            </w:r>
          </w:p>
        </w:tc>
      </w:tr>
      <w:tr w:rsidR="000551C1" w:rsidTr="000551C1">
        <w:tc>
          <w:tcPr>
            <w:tcW w:w="562" w:type="dxa"/>
          </w:tcPr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0551C1" w:rsidRDefault="000551C1" w:rsidP="00F36EFB">
            <w:pPr>
              <w:pStyle w:val="1"/>
              <w:tabs>
                <w:tab w:val="left" w:pos="426"/>
              </w:tabs>
              <w:ind w:left="0" w:right="-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здійснених заходів самоврядного контролю, од.</w:t>
            </w:r>
          </w:p>
        </w:tc>
        <w:tc>
          <w:tcPr>
            <w:tcW w:w="3962" w:type="dxa"/>
          </w:tcPr>
          <w:p w:rsidR="00365A3A" w:rsidRDefault="00365A3A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51C1" w:rsidRDefault="000551C1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73 </w:t>
            </w:r>
          </w:p>
        </w:tc>
      </w:tr>
      <w:tr w:rsidR="000551C1" w:rsidTr="000551C1">
        <w:tc>
          <w:tcPr>
            <w:tcW w:w="562" w:type="dxa"/>
          </w:tcPr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0551C1" w:rsidRDefault="000551C1" w:rsidP="00F36EFB">
            <w:pPr>
              <w:pStyle w:val="1"/>
              <w:tabs>
                <w:tab w:val="left" w:pos="426"/>
              </w:tabs>
              <w:ind w:left="0" w:right="-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 до міського бюджету земельного податку, орендної плати за використанням земельних ділянок згідно умов цивільно-правових договорів при здійсненні самоврядного контролю за дотриманням чинного законодавства, грн.</w:t>
            </w:r>
          </w:p>
        </w:tc>
        <w:tc>
          <w:tcPr>
            <w:tcW w:w="3962" w:type="dxa"/>
          </w:tcPr>
          <w:p w:rsidR="00365A3A" w:rsidRDefault="00365A3A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6EFB" w:rsidRDefault="00F36EFB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51C1" w:rsidRDefault="000551C1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602133,24 </w:t>
            </w:r>
          </w:p>
        </w:tc>
      </w:tr>
      <w:tr w:rsidR="000551C1" w:rsidTr="000551C1">
        <w:tc>
          <w:tcPr>
            <w:tcW w:w="562" w:type="dxa"/>
          </w:tcPr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0551C1" w:rsidRPr="00662170" w:rsidRDefault="000551C1" w:rsidP="00F36EFB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7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виявлених самовільно зайнятих земельних ділян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на території  м. Біла Церква, од.</w:t>
            </w:r>
          </w:p>
          <w:p w:rsidR="000551C1" w:rsidRDefault="000551C1" w:rsidP="00F36EFB">
            <w:pPr>
              <w:pStyle w:val="1"/>
              <w:tabs>
                <w:tab w:val="left" w:pos="426"/>
              </w:tabs>
              <w:ind w:left="0" w:right="-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</w:tcPr>
          <w:p w:rsidR="00F36EFB" w:rsidRDefault="00F36EFB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51C1" w:rsidRDefault="000551C1" w:rsidP="00365A3A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</w:p>
        </w:tc>
      </w:tr>
      <w:tr w:rsidR="000551C1" w:rsidTr="000551C1">
        <w:tc>
          <w:tcPr>
            <w:tcW w:w="562" w:type="dxa"/>
          </w:tcPr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0551C1" w:rsidRDefault="000551C1" w:rsidP="00F36EFB">
            <w:pPr>
              <w:pStyle w:val="1"/>
              <w:tabs>
                <w:tab w:val="left" w:pos="426"/>
              </w:tabs>
              <w:ind w:left="0" w:right="-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7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осіб, притягнутих до відповідальності за порушення земельного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3962" w:type="dxa"/>
          </w:tcPr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</w:tc>
      </w:tr>
      <w:tr w:rsidR="000551C1" w:rsidTr="000551C1">
        <w:tc>
          <w:tcPr>
            <w:tcW w:w="562" w:type="dxa"/>
          </w:tcPr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0551C1" w:rsidRPr="000551C1" w:rsidRDefault="000551C1" w:rsidP="00F36EFB">
            <w:pPr>
              <w:pStyle w:val="1"/>
              <w:tabs>
                <w:tab w:val="left" w:pos="426"/>
              </w:tabs>
              <w:ind w:left="0" w:right="-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поінформованості </w:t>
            </w:r>
            <w:proofErr w:type="spellStart"/>
            <w:r w:rsidRPr="00662170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6217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662170">
              <w:rPr>
                <w:rFonts w:ascii="Times New Roman" w:hAnsi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6621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6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господарювання,</w:t>
            </w:r>
            <w:r w:rsidR="00F36E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962" w:type="dxa"/>
          </w:tcPr>
          <w:p w:rsidR="00F36EFB" w:rsidRDefault="00F36EFB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51C1" w:rsidRDefault="000551C1" w:rsidP="000551C1">
            <w:pPr>
              <w:pStyle w:val="1"/>
              <w:tabs>
                <w:tab w:val="left" w:pos="426"/>
              </w:tabs>
              <w:ind w:left="0"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</w:tr>
    </w:tbl>
    <w:p w:rsidR="000551C1" w:rsidRPr="00662170" w:rsidRDefault="000551C1" w:rsidP="000551C1">
      <w:pPr>
        <w:pStyle w:val="1"/>
        <w:tabs>
          <w:tab w:val="left" w:pos="426"/>
        </w:tabs>
        <w:ind w:left="0"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1C1" w:rsidRPr="00662170" w:rsidRDefault="000551C1" w:rsidP="000551C1">
      <w:pPr>
        <w:pStyle w:val="1"/>
        <w:tabs>
          <w:tab w:val="left" w:pos="426"/>
        </w:tabs>
        <w:ind w:left="284" w:right="-5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1C1" w:rsidRDefault="000551C1" w:rsidP="000551C1">
      <w:pPr>
        <w:pStyle w:val="1"/>
        <w:tabs>
          <w:tab w:val="left" w:pos="426"/>
        </w:tabs>
        <w:ind w:left="284" w:right="-5" w:hanging="28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662170">
        <w:rPr>
          <w:rFonts w:ascii="Times New Roman" w:hAnsi="Times New Roman"/>
          <w:b/>
          <w:color w:val="000000"/>
          <w:sz w:val="24"/>
          <w:szCs w:val="24"/>
          <w:lang w:val="uk-UA"/>
        </w:rPr>
        <w:t>9.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Оцінка результатів реалізації регуляторного акта та ступеня досягнення визначених цілей:</w:t>
      </w:r>
      <w:r w:rsidRPr="006621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6621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0551C1" w:rsidRPr="00662170" w:rsidRDefault="000551C1" w:rsidP="000551C1">
      <w:pPr>
        <w:pStyle w:val="1"/>
        <w:tabs>
          <w:tab w:val="left" w:pos="426"/>
        </w:tabs>
        <w:ind w:left="284" w:right="-5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  </w:t>
      </w:r>
      <w:r w:rsidRPr="006621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F36EFB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ab/>
      </w:r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За результатами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проведення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 повторного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відстеження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результативності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даного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6EF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регуляторного </w:t>
      </w:r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акта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можна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21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зробити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висновок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21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62170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6621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регуляторний акт має достатній ступінь досягнення визначених цілей, результати його реаліза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ції мають позитивний характер, о</w:t>
      </w:r>
      <w:r w:rsidRPr="006621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тже він не потребує змін чи доповнень</w:t>
      </w:r>
      <w:r w:rsidRPr="0066217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51C1" w:rsidRDefault="000551C1" w:rsidP="000551C1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36EFB" w:rsidRDefault="00F36EFB" w:rsidP="000551C1"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Міський голова                                                                                         Г. Дикий</w:t>
      </w:r>
    </w:p>
    <w:p w:rsidR="009073BA" w:rsidRDefault="009073BA"/>
    <w:sectPr w:rsidR="009073BA" w:rsidSect="000551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08" w:rsidRDefault="00F92108" w:rsidP="000551C1">
      <w:pPr>
        <w:spacing w:after="0" w:line="240" w:lineRule="auto"/>
      </w:pPr>
      <w:r>
        <w:separator/>
      </w:r>
    </w:p>
  </w:endnote>
  <w:endnote w:type="continuationSeparator" w:id="0">
    <w:p w:rsidR="00F92108" w:rsidRDefault="00F92108" w:rsidP="0005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08" w:rsidRDefault="00F92108" w:rsidP="000551C1">
      <w:pPr>
        <w:spacing w:after="0" w:line="240" w:lineRule="auto"/>
      </w:pPr>
      <w:r>
        <w:separator/>
      </w:r>
    </w:p>
  </w:footnote>
  <w:footnote w:type="continuationSeparator" w:id="0">
    <w:p w:rsidR="00F92108" w:rsidRDefault="00F92108" w:rsidP="0005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768"/>
    <w:multiLevelType w:val="hybridMultilevel"/>
    <w:tmpl w:val="05D2B0B6"/>
    <w:lvl w:ilvl="0" w:tplc="D3CCB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3D0B"/>
    <w:multiLevelType w:val="hybridMultilevel"/>
    <w:tmpl w:val="3C68E448"/>
    <w:lvl w:ilvl="0" w:tplc="42CE47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1C1"/>
    <w:rsid w:val="000551C1"/>
    <w:rsid w:val="000C7970"/>
    <w:rsid w:val="002A4FD6"/>
    <w:rsid w:val="00365A3A"/>
    <w:rsid w:val="00602470"/>
    <w:rsid w:val="00740F2A"/>
    <w:rsid w:val="0074341E"/>
    <w:rsid w:val="007C72E5"/>
    <w:rsid w:val="009073BA"/>
    <w:rsid w:val="00973913"/>
    <w:rsid w:val="00CB1DBF"/>
    <w:rsid w:val="00EA5831"/>
    <w:rsid w:val="00F36EFB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C1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D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551C1"/>
    <w:pPr>
      <w:ind w:left="720"/>
      <w:contextualSpacing/>
    </w:pPr>
  </w:style>
  <w:style w:type="table" w:styleId="a4">
    <w:name w:val="Table Grid"/>
    <w:basedOn w:val="a1"/>
    <w:uiPriority w:val="39"/>
    <w:rsid w:val="000551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1C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5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1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3</cp:revision>
  <cp:lastPrinted>2018-09-27T13:24:00Z</cp:lastPrinted>
  <dcterms:created xsi:type="dcterms:W3CDTF">2018-09-27T13:10:00Z</dcterms:created>
  <dcterms:modified xsi:type="dcterms:W3CDTF">2018-09-27T13:46:00Z</dcterms:modified>
</cp:coreProperties>
</file>