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62" w:rsidRDefault="00170A62" w:rsidP="00E045FD"/>
    <w:p w:rsidR="00170A62" w:rsidRDefault="00170A62" w:rsidP="00E045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55490347" r:id="rId8"/>
        </w:pict>
      </w:r>
    </w:p>
    <w:p w:rsidR="00170A62" w:rsidRDefault="00170A62" w:rsidP="00E045FD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70A62" w:rsidRDefault="00170A62" w:rsidP="00E045F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170A62" w:rsidRDefault="00170A62" w:rsidP="00E045FD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170A62" w:rsidRDefault="00170A62" w:rsidP="00E045FD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170A62" w:rsidRDefault="00170A62" w:rsidP="00E045FD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170A62" w:rsidRPr="00E045FD" w:rsidRDefault="00170A62" w:rsidP="00E045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45FD">
        <w:rPr>
          <w:rFonts w:ascii="Times New Roman" w:hAnsi="Times New Roman" w:cs="Times New Roman"/>
          <w:sz w:val="24"/>
          <w:szCs w:val="24"/>
          <w:lang w:val="uk-UA"/>
        </w:rPr>
        <w:t xml:space="preserve">від 27 квітня  2017 року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667</w:t>
      </w:r>
      <w:r w:rsidRPr="00E045FD">
        <w:rPr>
          <w:rFonts w:ascii="Times New Roman" w:hAnsi="Times New Roman" w:cs="Times New Roman"/>
          <w:sz w:val="24"/>
          <w:szCs w:val="24"/>
          <w:lang w:val="uk-UA"/>
        </w:rPr>
        <w:t>-30-</w:t>
      </w:r>
      <w:r w:rsidRPr="00E045FD">
        <w:rPr>
          <w:rFonts w:ascii="Times New Roman" w:hAnsi="Times New Roman" w:cs="Times New Roman"/>
          <w:sz w:val="24"/>
          <w:szCs w:val="24"/>
        </w:rPr>
        <w:t>VII</w:t>
      </w:r>
    </w:p>
    <w:p w:rsidR="00170A62" w:rsidRDefault="00170A62" w:rsidP="00DE542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DE542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 будівництва Білоцерківської </w:t>
      </w:r>
    </w:p>
    <w:p w:rsidR="00170A62" w:rsidRDefault="00170A62" w:rsidP="00DE542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міської  ради  на  баланс управлінню освіти і науки Білоцерківської  міської ради та департаменту   житлово - комунального господарства  Білоцерківської міської ради закінчених будівництвом  об’єктів</w:t>
      </w:r>
    </w:p>
    <w:p w:rsidR="00170A62" w:rsidRDefault="00170A62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Pr="00716ACC" w:rsidRDefault="00170A62" w:rsidP="006A2306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70A62" w:rsidRDefault="00170A62" w:rsidP="003C7F84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регулярної політики, торгівлі, послуг та розвитку підприємства, власності, комунального майна та приватизації від 20   березня 2017 року № 2-17-144,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 </w:t>
      </w:r>
    </w:p>
    <w:p w:rsidR="00170A62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51469">
      <w:pPr>
        <w:pStyle w:val="ListParagraph"/>
        <w:tabs>
          <w:tab w:val="left" w:pos="142"/>
          <w:tab w:val="left" w:pos="2835"/>
          <w:tab w:val="left" w:pos="311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1.Відділу капітального будівництва Білоцерківської міської ради  передати безоплатно з свого балансу, а Управлінню освіти і науки  Білоцерківської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на баланс,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закінчені будівництвом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об’єкти :</w:t>
      </w:r>
    </w:p>
    <w:p w:rsidR="00170A62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5146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33 «Калинка» по вул. Східна 22-А в м. Біла Церква Київської області;</w:t>
      </w:r>
    </w:p>
    <w:p w:rsidR="00170A62" w:rsidRPr="00740E5A" w:rsidRDefault="00170A62" w:rsidP="00351469">
      <w:pPr>
        <w:pStyle w:val="ListParagraph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Pr="00740E5A" w:rsidRDefault="00170A62" w:rsidP="00351469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17 «Усмішка» по вул. Некрасова, 139 в м. Біла Церква Київської області;</w:t>
      </w:r>
    </w:p>
    <w:p w:rsidR="00170A62" w:rsidRDefault="00170A62" w:rsidP="00351469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18 «Ясочка» по вул. Я. Мудрого 68 в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області.</w:t>
      </w:r>
    </w:p>
    <w:p w:rsidR="00170A62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2.В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</w:t>
      </w:r>
      <w:r w:rsidRPr="0054393B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закінчені будівництвом об’єкти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70A62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2.1.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>Будівництво пішохідної доріжки вздовж р. Рось лівий берег від пл. Соборна   до дендропарку Олександрія.</w:t>
      </w: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Pr="00F26AFE" w:rsidRDefault="00170A62" w:rsidP="00F26AFE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Pr="006A2306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A62" w:rsidRPr="00740E5A" w:rsidRDefault="00170A62" w:rsidP="003C7F84">
      <w:pPr>
        <w:pStyle w:val="ListParagraph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3C7F84">
      <w:pPr>
        <w:tabs>
          <w:tab w:val="left" w:pos="426"/>
          <w:tab w:val="left" w:pos="2835"/>
          <w:tab w:val="left" w:pos="3119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2.2.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контейнерних площадок для роздрібного збору ТПВ.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 xml:space="preserve">переліку </w:t>
      </w:r>
    </w:p>
    <w:p w:rsidR="00170A62" w:rsidRPr="00740E5A" w:rsidRDefault="00170A62" w:rsidP="003C7F84">
      <w:pPr>
        <w:tabs>
          <w:tab w:val="left" w:pos="426"/>
          <w:tab w:val="left" w:pos="2835"/>
          <w:tab w:val="left" w:pos="3119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A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:rsidR="00170A62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Передачу здійснити згідно акту приймання-передачі відповідно до чинного законодавства України.</w:t>
      </w:r>
    </w:p>
    <w:p w:rsidR="00170A62" w:rsidRPr="00CA4193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Pr="00B07EC7" w:rsidRDefault="00170A62" w:rsidP="00351469">
      <w:pPr>
        <w:pStyle w:val="ListParagraph"/>
        <w:tabs>
          <w:tab w:val="left" w:pos="709"/>
          <w:tab w:val="left" w:pos="2835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4.</w:t>
      </w: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регулярної політики, послуг та розвитку підприємства, власності, комунального майна та приватизації.</w:t>
      </w:r>
    </w:p>
    <w:p w:rsidR="00170A62" w:rsidRDefault="00170A6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A62" w:rsidRDefault="00170A6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>Г.А.Дикий</w:t>
      </w: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</w:rPr>
      </w:pPr>
    </w:p>
    <w:p w:rsidR="00170A62" w:rsidRDefault="00170A62" w:rsidP="00351469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170A62" w:rsidRDefault="00170A62" w:rsidP="00250EA9">
      <w:pPr>
        <w:pStyle w:val="ListParagraph"/>
        <w:spacing w:after="0"/>
        <w:ind w:left="78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Додаток   </w:t>
      </w:r>
    </w:p>
    <w:p w:rsidR="00170A62" w:rsidRDefault="00170A62" w:rsidP="00250EA9">
      <w:pPr>
        <w:pStyle w:val="ListParagraph"/>
        <w:spacing w:after="0"/>
        <w:ind w:left="57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до рішення міської ради</w:t>
      </w:r>
    </w:p>
    <w:p w:rsidR="00170A62" w:rsidRDefault="00170A62" w:rsidP="00250EA9">
      <w:pPr>
        <w:pStyle w:val="ListParagraph"/>
        <w:spacing w:after="0"/>
        <w:ind w:left="57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від __________________</w:t>
      </w:r>
    </w:p>
    <w:p w:rsidR="00170A62" w:rsidRDefault="00170A62" w:rsidP="00250EA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№ ___________________</w:t>
      </w:r>
    </w:p>
    <w:p w:rsidR="00170A62" w:rsidRDefault="00170A62" w:rsidP="00250EA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170A62" w:rsidRDefault="00170A62" w:rsidP="00250EA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170A62" w:rsidRDefault="00170A62" w:rsidP="00250EA9">
      <w:pPr>
        <w:pStyle w:val="ListParagraph"/>
        <w:ind w:left="-142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Перелік закінчених будівництвом об’єктів, що передаються з балансу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відділу капітального будівництва Білоцерківської міської на баланс </w:t>
      </w:r>
      <w:r>
        <w:rPr>
          <w:rFonts w:ascii="Times New Roman" w:hAnsi="Times New Roman" w:cs="Times New Roman"/>
          <w:sz w:val="26"/>
          <w:szCs w:val="26"/>
          <w:lang w:val="uk-UA"/>
        </w:rPr>
        <w:t>Департаменту житлово-комунального господарства  Білоцерківської міської ради.</w:t>
      </w: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Ставищанська,128;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Таращанська;</w:t>
      </w:r>
    </w:p>
    <w:p w:rsidR="00170A62" w:rsidRPr="00250EA9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Сквирське шосе, 240;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Вокзальна,22 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О.Гончара, 2; </w:t>
      </w:r>
    </w:p>
    <w:p w:rsidR="00170A62" w:rsidRPr="00250EA9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Таращанська, 155 ;</w:t>
      </w:r>
    </w:p>
    <w:p w:rsidR="00170A62" w:rsidRPr="00250EA9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Івана Мазепи, 85а 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 5;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Курсовий,10/15;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 17а;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Некрасова,80;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Сквирське шосе,220;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250EA9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Таращанська,123; </w:t>
      </w:r>
    </w:p>
    <w:p w:rsidR="00170A62" w:rsidRDefault="00170A62" w:rsidP="00245FD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45F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Контейнерна площадка для роздр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збору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вул. Таращанська,141; </w:t>
      </w:r>
    </w:p>
    <w:p w:rsidR="00170A62" w:rsidRDefault="00170A62" w:rsidP="0024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F26AFE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Міський голова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Г.А. Дикий </w:t>
      </w: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Pr="006A2306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A62" w:rsidRDefault="00170A62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70A62" w:rsidSect="00F26A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62" w:rsidRDefault="00170A62" w:rsidP="00F26AFE">
      <w:pPr>
        <w:spacing w:after="0" w:line="240" w:lineRule="auto"/>
      </w:pPr>
      <w:r>
        <w:separator/>
      </w:r>
    </w:p>
  </w:endnote>
  <w:endnote w:type="continuationSeparator" w:id="0">
    <w:p w:rsidR="00170A62" w:rsidRDefault="00170A62" w:rsidP="00F2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62" w:rsidRDefault="00170A62" w:rsidP="00F26AFE">
      <w:pPr>
        <w:spacing w:after="0" w:line="240" w:lineRule="auto"/>
      </w:pPr>
      <w:r>
        <w:separator/>
      </w:r>
    </w:p>
  </w:footnote>
  <w:footnote w:type="continuationSeparator" w:id="0">
    <w:p w:rsidR="00170A62" w:rsidRDefault="00170A62" w:rsidP="00F2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5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42CE7"/>
    <w:rsid w:val="00051C48"/>
    <w:rsid w:val="00073862"/>
    <w:rsid w:val="000E19D2"/>
    <w:rsid w:val="00112047"/>
    <w:rsid w:val="00116389"/>
    <w:rsid w:val="00170A62"/>
    <w:rsid w:val="00170F62"/>
    <w:rsid w:val="001A665D"/>
    <w:rsid w:val="001A725F"/>
    <w:rsid w:val="00214FAA"/>
    <w:rsid w:val="00216F35"/>
    <w:rsid w:val="00245FD4"/>
    <w:rsid w:val="00250EA9"/>
    <w:rsid w:val="00275EA2"/>
    <w:rsid w:val="002A61DC"/>
    <w:rsid w:val="002B44E6"/>
    <w:rsid w:val="002B6504"/>
    <w:rsid w:val="00351469"/>
    <w:rsid w:val="003764DA"/>
    <w:rsid w:val="00390260"/>
    <w:rsid w:val="00390275"/>
    <w:rsid w:val="00397CF5"/>
    <w:rsid w:val="003B05FF"/>
    <w:rsid w:val="003C206B"/>
    <w:rsid w:val="003C7F84"/>
    <w:rsid w:val="003F3E4E"/>
    <w:rsid w:val="0040327A"/>
    <w:rsid w:val="00407BB0"/>
    <w:rsid w:val="00440E0F"/>
    <w:rsid w:val="004412E3"/>
    <w:rsid w:val="00445B22"/>
    <w:rsid w:val="00461B3E"/>
    <w:rsid w:val="004667E6"/>
    <w:rsid w:val="00477AD7"/>
    <w:rsid w:val="004A39DD"/>
    <w:rsid w:val="004A5A07"/>
    <w:rsid w:val="004D0556"/>
    <w:rsid w:val="00505008"/>
    <w:rsid w:val="00510B06"/>
    <w:rsid w:val="0054393B"/>
    <w:rsid w:val="00590B22"/>
    <w:rsid w:val="00592E67"/>
    <w:rsid w:val="00596040"/>
    <w:rsid w:val="00596FDD"/>
    <w:rsid w:val="005A12DE"/>
    <w:rsid w:val="005A39E7"/>
    <w:rsid w:val="005C4487"/>
    <w:rsid w:val="00627D10"/>
    <w:rsid w:val="0063286B"/>
    <w:rsid w:val="006448A9"/>
    <w:rsid w:val="006457BD"/>
    <w:rsid w:val="00657A8B"/>
    <w:rsid w:val="00691395"/>
    <w:rsid w:val="006939B7"/>
    <w:rsid w:val="00697D30"/>
    <w:rsid w:val="006A0802"/>
    <w:rsid w:val="006A2306"/>
    <w:rsid w:val="006D2357"/>
    <w:rsid w:val="007165D7"/>
    <w:rsid w:val="00716ACC"/>
    <w:rsid w:val="007230B1"/>
    <w:rsid w:val="0073052B"/>
    <w:rsid w:val="00740E5A"/>
    <w:rsid w:val="007675DC"/>
    <w:rsid w:val="00775C31"/>
    <w:rsid w:val="007A6AF2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B4049"/>
    <w:rsid w:val="00920995"/>
    <w:rsid w:val="009620F0"/>
    <w:rsid w:val="009716F4"/>
    <w:rsid w:val="009A40ED"/>
    <w:rsid w:val="009B3924"/>
    <w:rsid w:val="009F13AB"/>
    <w:rsid w:val="00A174B3"/>
    <w:rsid w:val="00A31767"/>
    <w:rsid w:val="00AE20E2"/>
    <w:rsid w:val="00B07EC7"/>
    <w:rsid w:val="00B14C48"/>
    <w:rsid w:val="00B322BF"/>
    <w:rsid w:val="00B50BED"/>
    <w:rsid w:val="00B57C90"/>
    <w:rsid w:val="00B911DD"/>
    <w:rsid w:val="00B964AF"/>
    <w:rsid w:val="00C05846"/>
    <w:rsid w:val="00C12696"/>
    <w:rsid w:val="00C15E57"/>
    <w:rsid w:val="00C45072"/>
    <w:rsid w:val="00CA4193"/>
    <w:rsid w:val="00CC7D94"/>
    <w:rsid w:val="00D00489"/>
    <w:rsid w:val="00D22475"/>
    <w:rsid w:val="00D810B6"/>
    <w:rsid w:val="00DA3244"/>
    <w:rsid w:val="00DD170C"/>
    <w:rsid w:val="00DE5420"/>
    <w:rsid w:val="00DF2810"/>
    <w:rsid w:val="00DF3086"/>
    <w:rsid w:val="00E045FD"/>
    <w:rsid w:val="00E13692"/>
    <w:rsid w:val="00E73E45"/>
    <w:rsid w:val="00E759B7"/>
    <w:rsid w:val="00E82AF4"/>
    <w:rsid w:val="00EC0E48"/>
    <w:rsid w:val="00EC5124"/>
    <w:rsid w:val="00EF4CC2"/>
    <w:rsid w:val="00F242F7"/>
    <w:rsid w:val="00F26AFE"/>
    <w:rsid w:val="00F314A5"/>
    <w:rsid w:val="00F356F7"/>
    <w:rsid w:val="00F41119"/>
    <w:rsid w:val="00F74CF9"/>
    <w:rsid w:val="00FA48D8"/>
    <w:rsid w:val="00FB2B2D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6AFE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AFE"/>
  </w:style>
  <w:style w:type="paragraph" w:styleId="Footer">
    <w:name w:val="footer"/>
    <w:basedOn w:val="Normal"/>
    <w:link w:val="FooterChar"/>
    <w:uiPriority w:val="99"/>
    <w:rsid w:val="00F26AFE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AFE"/>
  </w:style>
  <w:style w:type="paragraph" w:customStyle="1" w:styleId="1">
    <w:name w:val="Знак Знак1 Знак Знак"/>
    <w:basedOn w:val="Normal"/>
    <w:link w:val="DefaultParagraphFont"/>
    <w:uiPriority w:val="99"/>
    <w:rsid w:val="00E045F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Char1">
    <w:name w:val="Plain Text Char1"/>
    <w:link w:val="PlainText"/>
    <w:uiPriority w:val="99"/>
    <w:locked/>
    <w:rsid w:val="00E045FD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E045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63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569</Words>
  <Characters>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11</cp:revision>
  <cp:lastPrinted>2017-04-28T08:38:00Z</cp:lastPrinted>
  <dcterms:created xsi:type="dcterms:W3CDTF">2017-03-09T13:27:00Z</dcterms:created>
  <dcterms:modified xsi:type="dcterms:W3CDTF">2017-05-05T08:53:00Z</dcterms:modified>
</cp:coreProperties>
</file>