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85" w:rsidRDefault="006A7E85" w:rsidP="006A7E85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7443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6A7E85" w:rsidRDefault="006A7E85" w:rsidP="006A7E8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A7E85" w:rsidRDefault="006A7E85" w:rsidP="006A7E8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A7E85" w:rsidRDefault="006A7E85" w:rsidP="006A7E8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A7E85" w:rsidRDefault="006A7E85" w:rsidP="006A7E85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7E85" w:rsidRDefault="006A7E85" w:rsidP="006A7E85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7E85" w:rsidRPr="00AC7B72" w:rsidRDefault="006A7E85" w:rsidP="006A7E85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6A7E85" w:rsidRDefault="006A7E85" w:rsidP="006A7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B85" w:rsidRPr="00D9291A" w:rsidRDefault="005E6B85" w:rsidP="005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Про продаж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proofErr w:type="gram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E6B85" w:rsidRPr="00D9291A" w:rsidRDefault="005E6B85" w:rsidP="005E6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>ТОВАРИСТВУ З ОБМЕЖЕНОЮ ВІДПОВІДАЛЬНІСТЮ</w:t>
      </w: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>«БІОФАРМА-ПЛАЗМА-ІНВЕСТ»</w:t>
      </w: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6B85" w:rsidRPr="00D9291A" w:rsidRDefault="005E6B85" w:rsidP="005E6B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Розглянувши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заяву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ТОВАРИСТВА З ОБМЕЖЕНОЮ ВІДПОВІДАЛЬНІСТЮ «БІОФАРМА-ПЛАЗМА-ІНВЕСТ»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>19 серпня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2020 року №15.1-07/</w:t>
      </w:r>
      <w:r w:rsidRPr="00D9291A">
        <w:rPr>
          <w:rFonts w:ascii="Times New Roman" w:hAnsi="Times New Roman"/>
          <w:sz w:val="24"/>
          <w:szCs w:val="24"/>
          <w:lang w:eastAsia="ru-RU"/>
        </w:rPr>
        <w:t>3870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звіт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експертну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грошову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оцінку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на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якій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розташовані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об’єкти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нерухомого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майна, з метою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сприяння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соціально-економічному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розвитку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міста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Біла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Церква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до ст. ст. 12, 122, 125-128 Земельного кодексу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внесення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змін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деяких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законодавчих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актів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розмежування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державної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», «Про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державну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реєстрацію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речових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прав на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нерухоме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майно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їх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обтяжень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», ч. 1 п. 34 ст. 26 Закону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місцеве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самоврядування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>» та</w:t>
      </w:r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>рішення</w:t>
      </w:r>
      <w:proofErr w:type="spellEnd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>Білоцерківської</w:t>
      </w:r>
      <w:proofErr w:type="spellEnd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>міської</w:t>
      </w:r>
      <w:proofErr w:type="spellEnd"/>
      <w:r w:rsidRPr="00D9291A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ради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 23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січня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2020 року № 4997-89-VII «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 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дозволу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продаж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яка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знаходиться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користуванні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ТОВАРИСТВА З ОБМЕЖЕНОЮ ВІДПОВІДАЛЬНІСТЮ «БІОФАРМА-ПЛАЗМА-ІНВЕСТ»,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міська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рада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вирішила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5E6B85" w:rsidRPr="00D9291A" w:rsidRDefault="005E6B85" w:rsidP="005E6B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Взяти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відома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звіт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експертної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грошової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оцінки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1,4373 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га,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перебуває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оренді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ТОВАРИСТВА З ОБМЕЖЕНОЮ ВІДПОВІДАЛЬНІСТЮ «БІОФАРМА-ПЛАЗМА-ІНВЕСТ»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11.02. 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9291A">
        <w:rPr>
          <w:rFonts w:ascii="Times New Roman" w:eastAsia="Times New Roman" w:hAnsi="Times New Roman"/>
          <w:sz w:val="24"/>
          <w:szCs w:val="24"/>
        </w:rPr>
        <w:t>вид використання – для експлуатації та обслуговування виробничої бази з адміністративними спорудами – нежитлові будівлі літери «Х», «Ц»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, що розташована 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Київська, 37 В,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у м. Біла Церква, виконаний ТОВАРИСТВОМ З ОБМЕЖЕНОЮ ВІДПОВІДАЛЬНІСТЮ «БІНОМ-ГРУП», згідно з яким вартість земельної ділянки становить 2 183 000 грн. 00 коп. 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(два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мільйони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сто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вісімдесят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три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тисячі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гривень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00 коп.), без ПДВ. (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висновок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експерта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оцінну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вартість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31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липня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2020 року).</w:t>
      </w: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Встановити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ціну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продажу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розмірі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2 183 000 грн. 00 коп. </w:t>
      </w: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(два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мільйони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сто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вісімдесят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три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тисячі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гривень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00 коп.), без ПДВ.</w:t>
      </w:r>
    </w:p>
    <w:p w:rsidR="005E6B85" w:rsidRDefault="005E6B85" w:rsidP="005E6B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Продати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ТОВАРИСТВУ З ОБМЕЖЕНОЮ ВІДПОВІДАЛЬНІСТЮ «БІОФАРМА-ПЛАЗМА-ІНВЕСТ»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 (</w:t>
      </w:r>
      <w:proofErr w:type="spellStart"/>
      <w:proofErr w:type="gramEnd"/>
      <w:r w:rsidRPr="00D9291A">
        <w:rPr>
          <w:rFonts w:ascii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номер: 3210300000:06:011:0027)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загальною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1,4373 га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11.02. Для розміщення та експлуатації основних, підсобних </w:t>
      </w:r>
    </w:p>
    <w:p w:rsidR="005E6B85" w:rsidRDefault="005E6B85" w:rsidP="005E6B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і допоміжних будівель та споруд  підприємств переробної, машинобудівної та іншої промисловості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9291A">
        <w:rPr>
          <w:rFonts w:ascii="Times New Roman" w:eastAsia="Times New Roman" w:hAnsi="Times New Roman"/>
          <w:sz w:val="24"/>
          <w:szCs w:val="24"/>
        </w:rPr>
        <w:t>вид використання – для експлуатації та обслуговування виробничої бази з адміністративними спорудами – нежитлові будівлі літери «Х», «Ц»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,  на якій розташовані належні заявнику об’єкти нерухомого майна 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вулиця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Київська, 37В, </w:t>
      </w:r>
      <w:r w:rsidRPr="00D9291A">
        <w:rPr>
          <w:rFonts w:ascii="Times New Roman" w:hAnsi="Times New Roman"/>
          <w:sz w:val="24"/>
          <w:szCs w:val="24"/>
          <w:lang w:eastAsia="ru-RU"/>
        </w:rPr>
        <w:t>м. Біла Церква.</w:t>
      </w: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Покупець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у 30-денний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термін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прийняття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даного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зобов’язаний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укласти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договір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купівлі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-продажу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установленому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чинним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порядку.</w:t>
      </w: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5.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Покупець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зобов’язаний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день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підписання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купівлі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-продажу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нотаріального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посвідчення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сплатити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100 %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вартості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 (</w:t>
      </w:r>
      <w:proofErr w:type="gram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виключенням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авансового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внеску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розмірі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38 624 грн. 56 коп. (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тридцять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вісім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тисяч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шістсот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двадцять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чотири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гривні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56 коп.) до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місцевого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бюджету.</w:t>
      </w: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6. 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укладення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покупцем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купівлі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-продажу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несільськогосподарського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призначення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зазначений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в п.4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цього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термін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з вини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покупця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втрачає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чинність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E6B85" w:rsidRPr="00D9291A" w:rsidRDefault="005E6B85" w:rsidP="005E6B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7. Контроль за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виконанням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даного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покласти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постійну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комісію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питань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земельних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відносин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планування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території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будівництва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архітектури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охорони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пам’яток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історичного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9291A">
        <w:rPr>
          <w:rFonts w:ascii="Times New Roman" w:hAnsi="Times New Roman"/>
          <w:sz w:val="24"/>
          <w:szCs w:val="24"/>
          <w:lang w:val="ru-RU" w:eastAsia="ru-RU"/>
        </w:rPr>
        <w:t>середовища</w:t>
      </w:r>
      <w:proofErr w:type="spellEnd"/>
      <w:r w:rsidRPr="00D9291A">
        <w:rPr>
          <w:rFonts w:ascii="Times New Roman" w:hAnsi="Times New Roman"/>
          <w:sz w:val="24"/>
          <w:szCs w:val="24"/>
          <w:lang w:val="ru-RU" w:eastAsia="ru-RU"/>
        </w:rPr>
        <w:t xml:space="preserve"> та благоустрою. </w:t>
      </w: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E6B85" w:rsidRPr="00D9291A" w:rsidRDefault="005E6B85" w:rsidP="005E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                                 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Геннадій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ДИКИЙ</w:t>
      </w:r>
    </w:p>
    <w:p w:rsidR="007477D6" w:rsidRDefault="007477D6"/>
    <w:sectPr w:rsidR="007477D6" w:rsidSect="005E6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5E6B85"/>
    <w:rsid w:val="006A7E85"/>
    <w:rsid w:val="00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BC9958-87DD-48F1-95B3-828FE6C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8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85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6A7E85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6A7E85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6A7E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2020-09-29T07:28:00Z</cp:lastPrinted>
  <dcterms:created xsi:type="dcterms:W3CDTF">2020-09-29T07:26:00Z</dcterms:created>
  <dcterms:modified xsi:type="dcterms:W3CDTF">2020-10-01T08:37:00Z</dcterms:modified>
</cp:coreProperties>
</file>