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E" w:rsidRDefault="001971BE" w:rsidP="001971BE">
      <w:pPr>
        <w:pStyle w:val="a6"/>
        <w:tabs>
          <w:tab w:val="center" w:pos="2052"/>
          <w:tab w:val="left" w:pos="251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5pt;height:60.75pt;z-index:251659264;mso-position-horizontal-relative:text;mso-position-vertical-relative:text" fillcolor="window">
            <v:imagedata r:id="rId4" o:title=""/>
            <w10:wrap type="square" side="left"/>
          </v:shape>
          <o:OLEObject Type="Embed" ProgID="PBrush" ShapeID="_x0000_s1026" DrawAspect="Content" ObjectID="_1663054947" r:id="rId5"/>
        </w:object>
      </w:r>
      <w:r>
        <w:rPr>
          <w:rFonts w:ascii="Times New Roman" w:hAnsi="Times New Roman"/>
          <w:sz w:val="36"/>
          <w:szCs w:val="36"/>
        </w:rPr>
        <w:tab/>
      </w:r>
    </w:p>
    <w:p w:rsidR="001971BE" w:rsidRDefault="001971BE" w:rsidP="001971B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971BE" w:rsidRDefault="001971BE" w:rsidP="001971BE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1971BE" w:rsidRDefault="001971BE" w:rsidP="001971BE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971BE" w:rsidRDefault="001971BE" w:rsidP="001971BE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971BE" w:rsidRDefault="001971BE" w:rsidP="001971BE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971BE" w:rsidRPr="00AC7B72" w:rsidRDefault="001971BE" w:rsidP="001971BE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sz w:val="24"/>
          <w:szCs w:val="24"/>
        </w:rPr>
        <w:t>6056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  <w:bookmarkEnd w:id="0"/>
    </w:p>
    <w:p w:rsidR="001971BE" w:rsidRDefault="001971BE" w:rsidP="001971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6FF" w:rsidRPr="00D9291A" w:rsidRDefault="001816FF" w:rsidP="0018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Про погодження технічної документації із землеустрою </w:t>
      </w:r>
    </w:p>
    <w:p w:rsidR="001816FF" w:rsidRPr="00D9291A" w:rsidRDefault="001816FF" w:rsidP="0018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щодо поділу земельної ділянки та передачу земельної</w:t>
      </w:r>
    </w:p>
    <w:p w:rsidR="001816FF" w:rsidRPr="00D9291A" w:rsidRDefault="001816FF" w:rsidP="001816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ділянки комунальної власності в оренду ТОВАРИСТВУ </w:t>
      </w:r>
    </w:p>
    <w:p w:rsidR="001816FF" w:rsidRPr="00D9291A" w:rsidRDefault="001816FF" w:rsidP="001816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З ОБМЕЖЕНОЮ ВІДПОВІДАЛЬНІСТЮ «ВАЛТЕКС»</w:t>
      </w:r>
    </w:p>
    <w:p w:rsidR="001816FF" w:rsidRDefault="001816FF" w:rsidP="001816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6FF" w:rsidRPr="00D9291A" w:rsidRDefault="001816FF" w:rsidP="001816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Розглянувши 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9291A">
        <w:rPr>
          <w:rFonts w:ascii="Times New Roman" w:hAnsi="Times New Roman"/>
          <w:sz w:val="24"/>
          <w:szCs w:val="24"/>
        </w:rPr>
        <w:t xml:space="preserve">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серпня 2020 року 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230/02-17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929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серпня 2020 року №218,</w:t>
      </w:r>
      <w:r w:rsidRPr="00D9291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заяву ТОВАРИСТВА  З ОБМЕЖЕНОЮ ВІДПОВІДАЛЬНІСТЮ «ВАЛТЕКС» від 06 серпня 2020 року </w:t>
      </w:r>
      <w:r w:rsidRPr="00D9291A">
        <w:rPr>
          <w:rFonts w:ascii="Times New Roman" w:hAnsi="Times New Roman"/>
          <w:sz w:val="24"/>
          <w:szCs w:val="24"/>
          <w:lang w:eastAsia="zh-CN"/>
        </w:rPr>
        <w:t>№15.1-07/3555</w:t>
      </w:r>
      <w:r w:rsidRPr="00D9291A">
        <w:rPr>
          <w:rFonts w:ascii="Times New Roman" w:hAnsi="Times New Roman"/>
          <w:sz w:val="24"/>
          <w:szCs w:val="24"/>
        </w:rPr>
        <w:t>, технічну документацію із землеустрою щодо поділу земельної ділянки, рішення міської ради від 25  червня 2020 року № 5538-98-VII «Про надання дозволу на  розроблення  технічної документації  із землеустрою  щодо поділу земельної ділянки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ТОВАРИСТВУ  З ОБМЕЖЕНОЮ ВІДПОВІДАЛЬНІСТЮ «ВАЛТЕКС»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D9291A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D9291A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рішення Білоцерківської міської ради від 03 листопада 2016 року №319-18-</w:t>
      </w:r>
      <w:r w:rsidRPr="00D9291A">
        <w:rPr>
          <w:rFonts w:ascii="Times New Roman" w:hAnsi="Times New Roman"/>
          <w:sz w:val="24"/>
          <w:szCs w:val="24"/>
          <w:lang w:val="en-US"/>
        </w:rPr>
        <w:t>V</w:t>
      </w:r>
      <w:r w:rsidRPr="00D9291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D9291A">
        <w:rPr>
          <w:rFonts w:ascii="Times New Roman" w:hAnsi="Times New Roman"/>
          <w:sz w:val="24"/>
          <w:szCs w:val="24"/>
          <w:lang w:val="en-US"/>
        </w:rPr>
        <w:t>V</w:t>
      </w:r>
      <w:r w:rsidRPr="00D9291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D9291A">
        <w:rPr>
          <w:rFonts w:ascii="Times New Roman" w:hAnsi="Times New Roman"/>
          <w:sz w:val="24"/>
          <w:szCs w:val="24"/>
        </w:rPr>
        <w:t>м.Біла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 Церква», міська рада вирішила:</w:t>
      </w:r>
    </w:p>
    <w:p w:rsidR="001816FF" w:rsidRPr="00D9291A" w:rsidRDefault="001816FF" w:rsidP="0018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6FF" w:rsidRPr="00D9291A" w:rsidRDefault="001816FF" w:rsidP="00181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291A">
        <w:rPr>
          <w:rFonts w:ascii="Times New Roman" w:hAnsi="Times New Roman"/>
          <w:sz w:val="24"/>
          <w:szCs w:val="24"/>
        </w:rPr>
        <w:t xml:space="preserve">1. Погодити технічну документацію із землеустрою щодо поділу земельної ділянки комунальної власності площею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0,6887 га</w:t>
      </w:r>
      <w:r w:rsidRPr="00D9291A">
        <w:rPr>
          <w:rFonts w:ascii="Times New Roman" w:hAnsi="Times New Roman"/>
          <w:sz w:val="24"/>
          <w:szCs w:val="24"/>
        </w:rPr>
        <w:t xml:space="preserve"> з кадастровим номером: </w:t>
      </w:r>
      <w:r w:rsidRPr="00D929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3210300000:08:004:0064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  <w:shd w:val="clear" w:color="auto" w:fill="FFFFFF"/>
        </w:rPr>
        <w:t>: вулиця Леваневського, 87 на дві окремі земельні ділянки: ділянка площею 0,4062 га (кадастровий номер: 3220489500:02:026:0491), ділянка площею 0,2825 га (кадастровий номер: 3220489500:02:026:0492) без зміни їх цільового призначення, що додається.</w:t>
      </w:r>
    </w:p>
    <w:p w:rsidR="001816FF" w:rsidRPr="00D9291A" w:rsidRDefault="001816FF" w:rsidP="001816F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2. Передати земельну ділянку комунальної власності в оренду ТОВАРИСТВУ  З ОБМЕЖЕНОЮ ВІДПОВІДАЛЬНІСТЮ «ВАЛТЕКС»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D9291A">
        <w:rPr>
          <w:rFonts w:ascii="Times New Roman" w:hAnsi="Times New Roman"/>
          <w:sz w:val="24"/>
          <w:szCs w:val="24"/>
        </w:rPr>
        <w:t xml:space="preserve">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9291A">
        <w:rPr>
          <w:rFonts w:ascii="Times New Roman" w:hAnsi="Times New Roman"/>
          <w:sz w:val="24"/>
          <w:szCs w:val="24"/>
        </w:rPr>
        <w:t xml:space="preserve">на підставі розробленої </w:t>
      </w:r>
      <w:r w:rsidRPr="00D9291A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 ділянки,  площею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0,4062 га </w:t>
      </w:r>
      <w:r w:rsidRPr="00D9291A">
        <w:rPr>
          <w:rFonts w:ascii="Times New Roman" w:hAnsi="Times New Roman"/>
          <w:bCs/>
          <w:sz w:val="24"/>
          <w:szCs w:val="24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вулиця Леваневського, 87</w:t>
      </w:r>
      <w:r w:rsidRPr="00D9291A">
        <w:rPr>
          <w:rFonts w:ascii="Times New Roman" w:hAnsi="Times New Roman"/>
          <w:sz w:val="24"/>
          <w:szCs w:val="24"/>
        </w:rPr>
        <w:t xml:space="preserve">, строком на 5 (п’ять) років.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Кадастровий номер: 3220489500:02:026:0491.</w:t>
      </w:r>
    </w:p>
    <w:p w:rsidR="001816FF" w:rsidRPr="00D9291A" w:rsidRDefault="001816FF" w:rsidP="001816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3.Особі, зазначеній в цьому рішенні, укласти та зареєструвати у встановленому порядку договори оренди землі.</w:t>
      </w:r>
    </w:p>
    <w:p w:rsidR="001816FF" w:rsidRPr="00D9291A" w:rsidRDefault="001816FF" w:rsidP="001816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16FF" w:rsidRPr="00D9291A" w:rsidRDefault="001816FF" w:rsidP="001816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477D6" w:rsidRDefault="001816FF" w:rsidP="001816FF">
      <w:pPr>
        <w:spacing w:after="0" w:line="240" w:lineRule="auto"/>
        <w:jc w:val="both"/>
      </w:pPr>
      <w:r w:rsidRPr="00D929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D929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sectPr w:rsidR="007477D6" w:rsidSect="001971B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F"/>
    <w:rsid w:val="001816FF"/>
    <w:rsid w:val="001971BE"/>
    <w:rsid w:val="0074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514FA9-E065-4971-9AB3-7DD649B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F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6FF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1971BE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1971BE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1971B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2020-09-29T07:02:00Z</cp:lastPrinted>
  <dcterms:created xsi:type="dcterms:W3CDTF">2020-09-29T07:01:00Z</dcterms:created>
  <dcterms:modified xsi:type="dcterms:W3CDTF">2020-10-01T07:56:00Z</dcterms:modified>
</cp:coreProperties>
</file>