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DA4" w:rsidRDefault="00A56DA4" w:rsidP="00A56DA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DA4" w:rsidRDefault="003C5A0B" w:rsidP="003C5A0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proofErr w:type="spellStart"/>
      <w:r w:rsidR="00A56DA4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</w:p>
    <w:p w:rsidR="00A56DA4" w:rsidRDefault="00A56DA4" w:rsidP="00A56DA4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Автор: міський голова</w:t>
      </w:r>
    </w:p>
    <w:p w:rsidR="00A56DA4" w:rsidRDefault="003C5A0B" w:rsidP="003C5A0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Геннадій ДИКИЙ         </w:t>
      </w:r>
    </w:p>
    <w:p w:rsidR="00A56DA4" w:rsidRDefault="00A56DA4" w:rsidP="00A56DA4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56DA4" w:rsidRDefault="00A56DA4" w:rsidP="00A56DA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A56DA4" w:rsidRDefault="00A56DA4" w:rsidP="00A56DA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DA4" w:rsidRDefault="00A56DA4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DA4" w:rsidRDefault="00A56DA4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6DA4" w:rsidRDefault="00A56DA4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12D3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затвердження Програми</w:t>
      </w:r>
      <w:r w:rsidRPr="00B512D3">
        <w:rPr>
          <w:rFonts w:ascii="Times New Roman" w:hAnsi="Times New Roman"/>
          <w:sz w:val="24"/>
          <w:szCs w:val="24"/>
          <w:lang w:val="uk-UA"/>
        </w:rPr>
        <w:t xml:space="preserve"> відзначення</w:t>
      </w: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12D3">
        <w:rPr>
          <w:rFonts w:ascii="Times New Roman" w:hAnsi="Times New Roman"/>
          <w:sz w:val="24"/>
          <w:szCs w:val="24"/>
          <w:lang w:val="uk-UA"/>
        </w:rPr>
        <w:t xml:space="preserve">державних та </w:t>
      </w:r>
      <w:r>
        <w:rPr>
          <w:rFonts w:ascii="Times New Roman" w:hAnsi="Times New Roman"/>
          <w:sz w:val="24"/>
          <w:szCs w:val="24"/>
          <w:lang w:val="uk-UA"/>
        </w:rPr>
        <w:t xml:space="preserve">професійних </w:t>
      </w:r>
      <w:r w:rsidRPr="00B512D3">
        <w:rPr>
          <w:rFonts w:ascii="Times New Roman" w:hAnsi="Times New Roman"/>
          <w:sz w:val="24"/>
          <w:szCs w:val="24"/>
          <w:lang w:val="uk-UA"/>
        </w:rPr>
        <w:t xml:space="preserve">свят, ювілейних </w:t>
      </w: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12D3">
        <w:rPr>
          <w:rFonts w:ascii="Times New Roman" w:hAnsi="Times New Roman"/>
          <w:sz w:val="24"/>
          <w:szCs w:val="24"/>
          <w:lang w:val="uk-UA"/>
        </w:rPr>
        <w:t xml:space="preserve">дат, </w:t>
      </w:r>
      <w:r>
        <w:rPr>
          <w:rFonts w:ascii="Times New Roman" w:hAnsi="Times New Roman"/>
          <w:sz w:val="24"/>
          <w:szCs w:val="24"/>
          <w:lang w:val="uk-UA"/>
        </w:rPr>
        <w:t xml:space="preserve">заохочення за заслуги </w:t>
      </w:r>
      <w:r w:rsidRPr="00B512D3">
        <w:rPr>
          <w:rFonts w:ascii="Times New Roman" w:hAnsi="Times New Roman"/>
          <w:sz w:val="24"/>
          <w:szCs w:val="24"/>
          <w:lang w:val="uk-UA"/>
        </w:rPr>
        <w:t>перед</w:t>
      </w:r>
      <w:r w:rsidR="004B684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Білоцерківською </w:t>
      </w:r>
    </w:p>
    <w:p w:rsidR="001E4802" w:rsidRPr="00B512D3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міською територіальною громадою</w:t>
      </w:r>
      <w:r w:rsidRPr="00B512D3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12D3">
        <w:rPr>
          <w:rFonts w:ascii="Times New Roman" w:hAnsi="Times New Roman"/>
          <w:sz w:val="24"/>
          <w:szCs w:val="24"/>
          <w:lang w:val="uk-UA"/>
        </w:rPr>
        <w:t>здійснення представницьких та інших заходів</w:t>
      </w:r>
    </w:p>
    <w:p w:rsidR="001E4802" w:rsidRPr="00B512D3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12D3">
        <w:rPr>
          <w:rFonts w:ascii="Times New Roman" w:hAnsi="Times New Roman"/>
          <w:sz w:val="24"/>
          <w:szCs w:val="24"/>
          <w:lang w:val="uk-UA"/>
        </w:rPr>
        <w:t>на 202</w:t>
      </w:r>
      <w:r w:rsidR="003C5A0B">
        <w:rPr>
          <w:rFonts w:ascii="Times New Roman" w:hAnsi="Times New Roman"/>
          <w:sz w:val="24"/>
          <w:szCs w:val="24"/>
          <w:lang w:val="uk-UA"/>
        </w:rPr>
        <w:t>3</w:t>
      </w:r>
      <w:r w:rsidRPr="00B512D3">
        <w:rPr>
          <w:rFonts w:ascii="Times New Roman" w:hAnsi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B512D3">
        <w:rPr>
          <w:rFonts w:ascii="Times New Roman" w:hAnsi="Times New Roman"/>
          <w:sz w:val="24"/>
          <w:szCs w:val="24"/>
          <w:lang w:val="uk-UA"/>
        </w:rPr>
        <w:t>к</w:t>
      </w:r>
    </w:p>
    <w:p w:rsidR="001E4802" w:rsidRPr="00B512D3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Pr="00B512D3" w:rsidRDefault="001E4802" w:rsidP="001E480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512D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Розглянувши подання міського голови, в</w:t>
      </w:r>
      <w:r w:rsidRPr="00B512D3">
        <w:rPr>
          <w:rFonts w:ascii="Times New Roman" w:hAnsi="Times New Roman"/>
          <w:sz w:val="24"/>
          <w:szCs w:val="24"/>
          <w:lang w:val="uk-UA"/>
        </w:rPr>
        <w:t xml:space="preserve">ідповідно до </w:t>
      </w:r>
      <w:r>
        <w:rPr>
          <w:rFonts w:ascii="Times New Roman" w:hAnsi="Times New Roman"/>
          <w:sz w:val="24"/>
          <w:szCs w:val="24"/>
          <w:lang w:val="uk-UA"/>
        </w:rPr>
        <w:t xml:space="preserve">пункту 22 частини 1 статті 22 </w:t>
      </w:r>
      <w:r w:rsidRPr="00B512D3">
        <w:rPr>
          <w:rFonts w:ascii="Times New Roman" w:hAnsi="Times New Roman"/>
          <w:sz w:val="24"/>
          <w:szCs w:val="24"/>
          <w:lang w:val="uk-UA"/>
        </w:rPr>
        <w:t>Бюджетного кодексу України, ст</w:t>
      </w:r>
      <w:r w:rsidR="003C5A0B">
        <w:rPr>
          <w:rFonts w:ascii="Times New Roman" w:hAnsi="Times New Roman"/>
          <w:sz w:val="24"/>
          <w:szCs w:val="24"/>
          <w:lang w:val="uk-UA"/>
        </w:rPr>
        <w:t xml:space="preserve">атті </w:t>
      </w:r>
      <w:r>
        <w:rPr>
          <w:rFonts w:ascii="Times New Roman" w:hAnsi="Times New Roman"/>
          <w:sz w:val="24"/>
          <w:szCs w:val="24"/>
          <w:lang w:val="uk-UA"/>
        </w:rPr>
        <w:t xml:space="preserve">26 Закону України </w:t>
      </w:r>
      <w:proofErr w:type="spellStart"/>
      <w:r w:rsidRPr="00587AFA">
        <w:rPr>
          <w:rFonts w:ascii="Times New Roman" w:hAnsi="Times New Roman"/>
          <w:sz w:val="24"/>
          <w:szCs w:val="24"/>
          <w:lang w:val="uk-UA"/>
        </w:rPr>
        <w:t>“</w:t>
      </w:r>
      <w:r w:rsidRPr="00B512D3">
        <w:rPr>
          <w:rFonts w:ascii="Times New Roman" w:hAnsi="Times New Roman"/>
          <w:sz w:val="24"/>
          <w:szCs w:val="24"/>
          <w:lang w:val="uk-UA"/>
        </w:rPr>
        <w:t>Про</w:t>
      </w:r>
      <w:proofErr w:type="spellEnd"/>
      <w:r w:rsidRPr="00B512D3">
        <w:rPr>
          <w:rFonts w:ascii="Times New Roman" w:hAnsi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/>
          <w:sz w:val="24"/>
          <w:szCs w:val="24"/>
          <w:lang w:val="uk-UA"/>
        </w:rPr>
        <w:t xml:space="preserve">ісцеве самоврядування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Україні</w:t>
      </w:r>
      <w:r w:rsidRPr="00587AF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B512D3">
        <w:rPr>
          <w:rFonts w:ascii="Times New Roman" w:hAnsi="Times New Roman"/>
          <w:sz w:val="24"/>
          <w:szCs w:val="24"/>
          <w:lang w:val="uk-UA"/>
        </w:rPr>
        <w:t>,  міська рада вирішила:</w:t>
      </w:r>
    </w:p>
    <w:p w:rsidR="001E4802" w:rsidRPr="00B512D3" w:rsidRDefault="001E4802" w:rsidP="001E480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512D3">
        <w:rPr>
          <w:rFonts w:ascii="Times New Roman" w:hAnsi="Times New Roman"/>
          <w:sz w:val="24"/>
          <w:szCs w:val="24"/>
          <w:lang w:val="uk-UA"/>
        </w:rPr>
        <w:tab/>
        <w:t xml:space="preserve">1.Затвердити Програму відзначення державних та професійних свят, ювілейних дат, заохочення за заслуги перед </w:t>
      </w:r>
      <w:r>
        <w:rPr>
          <w:rFonts w:ascii="Times New Roman" w:hAnsi="Times New Roman"/>
          <w:sz w:val="24"/>
          <w:szCs w:val="24"/>
          <w:lang w:val="uk-UA"/>
        </w:rPr>
        <w:t>Білоцерківською міською територіальною громадою</w:t>
      </w:r>
      <w:r w:rsidRPr="00B512D3">
        <w:rPr>
          <w:rFonts w:ascii="Times New Roman" w:hAnsi="Times New Roman"/>
          <w:sz w:val="24"/>
          <w:szCs w:val="24"/>
          <w:lang w:val="uk-UA"/>
        </w:rPr>
        <w:t>, здійснення представницьких та інших заходів на 202</w:t>
      </w:r>
      <w:r w:rsidR="003C5A0B">
        <w:rPr>
          <w:rFonts w:ascii="Times New Roman" w:hAnsi="Times New Roman"/>
          <w:sz w:val="24"/>
          <w:szCs w:val="24"/>
          <w:lang w:val="uk-UA"/>
        </w:rPr>
        <w:t>3</w:t>
      </w:r>
      <w:r w:rsidRPr="00B512D3">
        <w:rPr>
          <w:rFonts w:ascii="Times New Roman" w:hAnsi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B512D3">
        <w:rPr>
          <w:rFonts w:ascii="Times New Roman" w:hAnsi="Times New Roman"/>
          <w:sz w:val="24"/>
          <w:szCs w:val="24"/>
          <w:lang w:val="uk-UA"/>
        </w:rPr>
        <w:t>к (далі – Програма), згідно з додатком.</w:t>
      </w:r>
    </w:p>
    <w:p w:rsidR="001E4802" w:rsidRPr="00B512D3" w:rsidRDefault="001E4802" w:rsidP="001E480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512D3">
        <w:rPr>
          <w:rFonts w:ascii="Times New Roman" w:hAnsi="Times New Roman"/>
          <w:sz w:val="24"/>
          <w:szCs w:val="24"/>
          <w:lang w:val="uk-UA"/>
        </w:rPr>
        <w:tab/>
        <w:t>2.</w:t>
      </w:r>
      <w:r w:rsidR="00B3575D" w:rsidRPr="00B357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575D">
        <w:rPr>
          <w:rFonts w:ascii="Times New Roman" w:hAnsi="Times New Roman"/>
          <w:sz w:val="24"/>
          <w:szCs w:val="24"/>
          <w:lang w:val="uk-UA"/>
        </w:rPr>
        <w:t>Управлінн</w:t>
      </w:r>
      <w:r w:rsidR="00542120">
        <w:rPr>
          <w:rFonts w:ascii="Times New Roman" w:hAnsi="Times New Roman"/>
          <w:sz w:val="24"/>
          <w:szCs w:val="24"/>
          <w:lang w:val="uk-UA"/>
        </w:rPr>
        <w:t>ю</w:t>
      </w:r>
      <w:r w:rsidR="00B3575D">
        <w:rPr>
          <w:rFonts w:ascii="Times New Roman" w:hAnsi="Times New Roman"/>
          <w:sz w:val="24"/>
          <w:szCs w:val="24"/>
          <w:lang w:val="uk-UA"/>
        </w:rPr>
        <w:t xml:space="preserve"> фінансів Білоцерківської міської ради</w:t>
      </w:r>
      <w:r w:rsidR="00B3575D" w:rsidRPr="00B3575D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512D3">
        <w:rPr>
          <w:rFonts w:ascii="Times New Roman" w:hAnsi="Times New Roman"/>
          <w:sz w:val="24"/>
          <w:szCs w:val="24"/>
          <w:lang w:val="uk-UA"/>
        </w:rPr>
        <w:t xml:space="preserve"> спільно з виконавчим комітетом Білоцерківської міської ради при формуванні бюджету</w:t>
      </w:r>
      <w:r w:rsidR="008438B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Білоцерківської міської територіальної громади</w:t>
      </w:r>
      <w:r w:rsidRPr="00B512D3">
        <w:rPr>
          <w:rFonts w:ascii="Times New Roman" w:hAnsi="Times New Roman"/>
          <w:sz w:val="24"/>
          <w:szCs w:val="24"/>
          <w:lang w:val="uk-UA"/>
        </w:rPr>
        <w:t xml:space="preserve"> на відповідн</w:t>
      </w:r>
      <w:r w:rsidR="00542120">
        <w:rPr>
          <w:rFonts w:ascii="Times New Roman" w:hAnsi="Times New Roman"/>
          <w:sz w:val="24"/>
          <w:szCs w:val="24"/>
          <w:lang w:val="uk-UA"/>
        </w:rPr>
        <w:t>ий</w:t>
      </w:r>
      <w:r w:rsidRPr="00B512D3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542120">
        <w:rPr>
          <w:rFonts w:ascii="Times New Roman" w:hAnsi="Times New Roman"/>
          <w:sz w:val="24"/>
          <w:szCs w:val="24"/>
          <w:lang w:val="uk-UA"/>
        </w:rPr>
        <w:t>і</w:t>
      </w:r>
      <w:r w:rsidRPr="00B512D3">
        <w:rPr>
          <w:rFonts w:ascii="Times New Roman" w:hAnsi="Times New Roman"/>
          <w:sz w:val="24"/>
          <w:szCs w:val="24"/>
          <w:lang w:val="uk-UA"/>
        </w:rPr>
        <w:t>к передбачити кошти на фінансування заходів Програми, виходячи з фінансового ресурсу бюджету</w:t>
      </w:r>
      <w:r w:rsidR="008438B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Білоцерківської міської територіальної громади</w:t>
      </w:r>
      <w:r w:rsidRPr="00B512D3">
        <w:rPr>
          <w:rFonts w:ascii="Times New Roman" w:hAnsi="Times New Roman"/>
          <w:sz w:val="24"/>
          <w:szCs w:val="24"/>
          <w:lang w:val="uk-UA"/>
        </w:rPr>
        <w:t xml:space="preserve"> та його пріоритетів.</w:t>
      </w:r>
    </w:p>
    <w:p w:rsidR="001E4802" w:rsidRDefault="001E4802" w:rsidP="001E480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512D3">
        <w:rPr>
          <w:rFonts w:ascii="Times New Roman" w:hAnsi="Times New Roman"/>
          <w:sz w:val="24"/>
          <w:szCs w:val="24"/>
          <w:lang w:val="uk-UA"/>
        </w:rPr>
        <w:tab/>
        <w:t xml:space="preserve">3.Контроль за виконанням цього рішення покласти на постійну комісію міської ради з </w:t>
      </w:r>
    </w:p>
    <w:p w:rsidR="001E4802" w:rsidRPr="00206AD5" w:rsidRDefault="008438BD" w:rsidP="001E4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итань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1E4802" w:rsidRPr="00206AD5">
        <w:rPr>
          <w:rFonts w:ascii="Times New Roman" w:hAnsi="Times New Roman" w:cs="Times New Roman"/>
          <w:sz w:val="24"/>
          <w:szCs w:val="24"/>
        </w:rPr>
        <w:t xml:space="preserve">, материнства та 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="001E4802" w:rsidRPr="00206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1E4802" w:rsidRPr="00206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1E4802" w:rsidRPr="00206AD5">
        <w:rPr>
          <w:rFonts w:ascii="Times New Roman" w:hAnsi="Times New Roman" w:cs="Times New Roman"/>
          <w:sz w:val="24"/>
          <w:szCs w:val="24"/>
        </w:rPr>
        <w:t xml:space="preserve">, науки, спорту, 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1E4802" w:rsidRPr="00206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="001E4802" w:rsidRPr="00206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1E4802" w:rsidRPr="00206AD5">
        <w:rPr>
          <w:rFonts w:ascii="Times New Roman" w:hAnsi="Times New Roman" w:cs="Times New Roman"/>
          <w:sz w:val="24"/>
          <w:szCs w:val="24"/>
        </w:rPr>
        <w:t xml:space="preserve">, прав 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меншин</w:t>
      </w:r>
      <w:proofErr w:type="spellEnd"/>
      <w:r w:rsidR="001E4802" w:rsidRPr="00206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="001E4802" w:rsidRPr="00206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E4802" w:rsidRPr="00206AD5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="001E4802" w:rsidRPr="00206AD5">
        <w:rPr>
          <w:rFonts w:ascii="Times New Roman" w:hAnsi="Times New Roman" w:cs="Times New Roman"/>
          <w:sz w:val="24"/>
          <w:szCs w:val="24"/>
        </w:rPr>
        <w:t>.</w:t>
      </w:r>
    </w:p>
    <w:p w:rsidR="001E4802" w:rsidRPr="00B512D3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512D3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</w:t>
      </w:r>
      <w:r w:rsidRPr="00B512D3">
        <w:rPr>
          <w:rFonts w:ascii="Times New Roman" w:hAnsi="Times New Roman"/>
          <w:sz w:val="24"/>
          <w:szCs w:val="24"/>
          <w:lang w:val="uk-UA"/>
        </w:rPr>
        <w:tab/>
      </w:r>
      <w:r w:rsidRPr="00B512D3">
        <w:rPr>
          <w:rFonts w:ascii="Times New Roman" w:hAnsi="Times New Roman"/>
          <w:sz w:val="24"/>
          <w:szCs w:val="24"/>
          <w:lang w:val="uk-UA"/>
        </w:rPr>
        <w:tab/>
      </w:r>
      <w:r w:rsidRPr="00B512D3">
        <w:rPr>
          <w:rFonts w:ascii="Times New Roman" w:hAnsi="Times New Roman"/>
          <w:sz w:val="24"/>
          <w:szCs w:val="24"/>
          <w:lang w:val="uk-UA"/>
        </w:rPr>
        <w:tab/>
        <w:t xml:space="preserve">       Г</w:t>
      </w:r>
      <w:r>
        <w:rPr>
          <w:rFonts w:ascii="Times New Roman" w:hAnsi="Times New Roman"/>
          <w:sz w:val="24"/>
          <w:szCs w:val="24"/>
          <w:lang w:val="uk-UA"/>
        </w:rPr>
        <w:t xml:space="preserve">еннадій ДИКИЙ </w:t>
      </w:r>
    </w:p>
    <w:p w:rsidR="001E4802" w:rsidRPr="00206AD5" w:rsidRDefault="001E4802" w:rsidP="001E4802"/>
    <w:p w:rsidR="001E4802" w:rsidRPr="00B512D3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ind w:left="2977" w:firstLine="4823"/>
        <w:jc w:val="both"/>
        <w:rPr>
          <w:rFonts w:ascii="Times New Roman" w:hAnsi="Times New Roman"/>
          <w:sz w:val="24"/>
          <w:szCs w:val="24"/>
          <w:lang w:val="uk-UA"/>
        </w:rPr>
      </w:pPr>
      <w:r w:rsidRPr="004F5C56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                   </w:t>
      </w:r>
    </w:p>
    <w:p w:rsidR="001E4802" w:rsidRPr="00B512D3" w:rsidRDefault="001E4802" w:rsidP="001E4802">
      <w:pPr>
        <w:pStyle w:val="a3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Pr="004F5C56">
        <w:rPr>
          <w:rFonts w:ascii="Times New Roman" w:hAnsi="Times New Roman"/>
          <w:sz w:val="24"/>
          <w:szCs w:val="24"/>
          <w:lang w:val="uk-UA"/>
        </w:rPr>
        <w:t xml:space="preserve">до рішення  міської ради                                                                                   </w:t>
      </w:r>
    </w:p>
    <w:p w:rsidR="001E4802" w:rsidRDefault="001E4802" w:rsidP="001E480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B07DD7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6841">
        <w:rPr>
          <w:rFonts w:ascii="Times New Roman" w:hAnsi="Times New Roman"/>
          <w:sz w:val="24"/>
          <w:szCs w:val="24"/>
          <w:lang w:val="uk-UA"/>
        </w:rPr>
        <w:t>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</w:p>
    <w:p w:rsidR="001E4802" w:rsidRPr="00B07DD7" w:rsidRDefault="001E4802" w:rsidP="001E480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B07DD7">
        <w:rPr>
          <w:rFonts w:ascii="Times New Roman" w:hAnsi="Times New Roman"/>
          <w:sz w:val="24"/>
          <w:szCs w:val="24"/>
          <w:lang w:val="uk-UA"/>
        </w:rPr>
        <w:t>№</w:t>
      </w:r>
      <w:r w:rsidR="004B6841">
        <w:rPr>
          <w:rFonts w:ascii="Times New Roman" w:hAnsi="Times New Roman"/>
          <w:sz w:val="24"/>
          <w:szCs w:val="24"/>
          <w:lang w:val="uk-UA"/>
        </w:rPr>
        <w:t>________</w:t>
      </w:r>
    </w:p>
    <w:p w:rsidR="001E4802" w:rsidRDefault="001E4802" w:rsidP="001E480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4802" w:rsidRPr="00B07DD7" w:rsidRDefault="001E4802" w:rsidP="001E480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4802" w:rsidRPr="00B512D3" w:rsidRDefault="001E4802" w:rsidP="001E4802">
      <w:pPr>
        <w:pStyle w:val="a3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512D3">
        <w:rPr>
          <w:rFonts w:ascii="Times New Roman" w:hAnsi="Times New Roman"/>
          <w:b/>
          <w:sz w:val="36"/>
          <w:szCs w:val="36"/>
          <w:lang w:val="uk-UA"/>
        </w:rPr>
        <w:t>П Р О Г Р А М А</w:t>
      </w:r>
    </w:p>
    <w:p w:rsidR="001E4802" w:rsidRPr="00B512D3" w:rsidRDefault="001E4802" w:rsidP="001E4802">
      <w:pPr>
        <w:pStyle w:val="a3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512D3">
        <w:rPr>
          <w:rFonts w:ascii="Times New Roman" w:hAnsi="Times New Roman"/>
          <w:b/>
          <w:sz w:val="36"/>
          <w:szCs w:val="36"/>
          <w:lang w:val="uk-UA"/>
        </w:rPr>
        <w:t>відзначення державних та професійних свят,</w:t>
      </w:r>
    </w:p>
    <w:p w:rsidR="001E4802" w:rsidRPr="00B512D3" w:rsidRDefault="001E4802" w:rsidP="001E4802">
      <w:pPr>
        <w:pStyle w:val="a3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512D3">
        <w:rPr>
          <w:rFonts w:ascii="Times New Roman" w:hAnsi="Times New Roman"/>
          <w:b/>
          <w:sz w:val="36"/>
          <w:szCs w:val="36"/>
          <w:lang w:val="uk-UA"/>
        </w:rPr>
        <w:t xml:space="preserve">ювілейних дат, заохочення за заслуги перед </w:t>
      </w:r>
      <w:r>
        <w:rPr>
          <w:rFonts w:ascii="Times New Roman" w:hAnsi="Times New Roman"/>
          <w:b/>
          <w:sz w:val="36"/>
          <w:szCs w:val="36"/>
          <w:lang w:val="uk-UA"/>
        </w:rPr>
        <w:t>Білоцерківською міською територіальною громадою</w:t>
      </w:r>
      <w:r w:rsidRPr="00B512D3">
        <w:rPr>
          <w:rFonts w:ascii="Times New Roman" w:hAnsi="Times New Roman"/>
          <w:b/>
          <w:sz w:val="36"/>
          <w:szCs w:val="36"/>
          <w:lang w:val="uk-UA"/>
        </w:rPr>
        <w:t>, здійснення представницьких та інших заходів</w:t>
      </w:r>
    </w:p>
    <w:p w:rsidR="001E4802" w:rsidRPr="00B512D3" w:rsidRDefault="001E4802" w:rsidP="001E4802">
      <w:pPr>
        <w:pStyle w:val="a3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512D3">
        <w:rPr>
          <w:rFonts w:ascii="Times New Roman" w:hAnsi="Times New Roman"/>
          <w:b/>
          <w:sz w:val="36"/>
          <w:szCs w:val="36"/>
          <w:lang w:val="uk-UA"/>
        </w:rPr>
        <w:t>на 202</w:t>
      </w:r>
      <w:r w:rsidR="003C5A0B">
        <w:rPr>
          <w:rFonts w:ascii="Times New Roman" w:hAnsi="Times New Roman"/>
          <w:b/>
          <w:sz w:val="36"/>
          <w:szCs w:val="36"/>
          <w:lang w:val="uk-UA"/>
        </w:rPr>
        <w:t>3</w:t>
      </w:r>
      <w:r w:rsidR="00BE143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B512D3">
        <w:rPr>
          <w:rFonts w:ascii="Times New Roman" w:hAnsi="Times New Roman"/>
          <w:b/>
          <w:sz w:val="36"/>
          <w:szCs w:val="36"/>
          <w:lang w:val="uk-UA"/>
        </w:rPr>
        <w:t>р</w:t>
      </w:r>
      <w:r>
        <w:rPr>
          <w:rFonts w:ascii="Times New Roman" w:hAnsi="Times New Roman"/>
          <w:b/>
          <w:sz w:val="36"/>
          <w:szCs w:val="36"/>
          <w:lang w:val="uk-UA"/>
        </w:rPr>
        <w:t>і</w:t>
      </w:r>
      <w:r w:rsidRPr="00B512D3">
        <w:rPr>
          <w:rFonts w:ascii="Times New Roman" w:hAnsi="Times New Roman"/>
          <w:b/>
          <w:sz w:val="36"/>
          <w:szCs w:val="36"/>
          <w:lang w:val="uk-UA"/>
        </w:rPr>
        <w:t>к</w:t>
      </w:r>
    </w:p>
    <w:p w:rsidR="001E4802" w:rsidRPr="00B512D3" w:rsidRDefault="001E4802" w:rsidP="001E4802">
      <w:pPr>
        <w:pStyle w:val="a3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E4802" w:rsidRPr="00B512D3" w:rsidRDefault="001E4802" w:rsidP="001E480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438BD" w:rsidRDefault="008438BD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438BD" w:rsidRDefault="008438BD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438BD" w:rsidRDefault="008438BD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E4802" w:rsidRDefault="001E4802" w:rsidP="001E480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4802" w:rsidRPr="008E63A1" w:rsidRDefault="001E4802" w:rsidP="001E480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63A1">
        <w:rPr>
          <w:rFonts w:ascii="Times New Roman" w:hAnsi="Times New Roman"/>
          <w:b/>
          <w:sz w:val="24"/>
          <w:szCs w:val="24"/>
          <w:lang w:val="uk-UA"/>
        </w:rPr>
        <w:lastRenderedPageBreak/>
        <w:t>1. Загальні положення</w:t>
      </w:r>
    </w:p>
    <w:p w:rsidR="001E4802" w:rsidRPr="008E63A1" w:rsidRDefault="001E4802" w:rsidP="001E480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ab/>
        <w:t>Програма відзначення державних та професійних свят, ювілейних дат, заохочення за заслуги перед містом, здійснення представницьких та інших заходів на 202</w:t>
      </w:r>
      <w:r w:rsidR="003C5A0B">
        <w:rPr>
          <w:rFonts w:ascii="Times New Roman" w:hAnsi="Times New Roman"/>
          <w:sz w:val="24"/>
          <w:szCs w:val="24"/>
          <w:lang w:val="uk-UA"/>
        </w:rPr>
        <w:t>3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рік (далі – Програма) розроблена відповідно до Закону України «Про місцеве самоврядування в Україні», Бюджетного кодексу України. Білоцерківська міська рада і виконавчий комітет організовують і беруть участь  у відзначенні свят, подій державного, обласного і міського значення. В </w:t>
      </w:r>
      <w:r>
        <w:rPr>
          <w:rFonts w:ascii="Times New Roman" w:hAnsi="Times New Roman"/>
          <w:sz w:val="24"/>
          <w:szCs w:val="24"/>
          <w:lang w:val="uk-UA"/>
        </w:rPr>
        <w:t>Білоцерківській міській територіальній громад</w:t>
      </w:r>
      <w:r w:rsidRPr="008E63A1">
        <w:rPr>
          <w:rFonts w:ascii="Times New Roman" w:hAnsi="Times New Roman"/>
          <w:sz w:val="24"/>
          <w:szCs w:val="24"/>
          <w:lang w:val="uk-UA"/>
        </w:rPr>
        <w:t>і здійснюються заходи, пов’язані із заохоченням, відзначенням та стимулюванням окремих працівників, трудових колективів, які досягли високого професіоналізму і визначних успіхів у виробничій, науковій, державній, військовій, творчій та інших сферах діяльності, зробили вагомий внесок у створення матеріальних і духовних цінностей або мають інші заслуги перед містом, областю та Україною. Це потребує систематизації таких заходів, виділення бюджетних асигнувань відповідному їх розпорядникові.</w:t>
      </w:r>
    </w:p>
    <w:p w:rsidR="001E4802" w:rsidRPr="008E63A1" w:rsidRDefault="001E4802" w:rsidP="001E480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63A1">
        <w:rPr>
          <w:rFonts w:ascii="Times New Roman" w:hAnsi="Times New Roman"/>
          <w:b/>
          <w:sz w:val="24"/>
          <w:szCs w:val="24"/>
          <w:lang w:val="uk-UA"/>
        </w:rPr>
        <w:t>2. Мета і завдання Програми</w:t>
      </w:r>
    </w:p>
    <w:p w:rsidR="001E4802" w:rsidRPr="008E63A1" w:rsidRDefault="001E4802" w:rsidP="001E480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ab/>
        <w:t xml:space="preserve">Метою Програми є забезпечення належної організації відзначення державних та професійних свят, ювілейних дат, заохочення за заслуги перед </w:t>
      </w:r>
      <w:r>
        <w:rPr>
          <w:rFonts w:ascii="Times New Roman" w:hAnsi="Times New Roman"/>
          <w:sz w:val="24"/>
          <w:szCs w:val="24"/>
          <w:lang w:val="uk-UA"/>
        </w:rPr>
        <w:t>Білоцерківською міською територіальною громадою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, здійснення представницьких та інших заходів.</w:t>
      </w:r>
    </w:p>
    <w:p w:rsidR="001E4802" w:rsidRPr="008E63A1" w:rsidRDefault="001E4802" w:rsidP="001E480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ab/>
        <w:t>Основними завданнями Програми є створення додаткових організаційних, фінансових і матеріально-технічних умов для виконання мети Програми.</w:t>
      </w:r>
    </w:p>
    <w:p w:rsidR="001E4802" w:rsidRPr="008E63A1" w:rsidRDefault="001E4802" w:rsidP="001E480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4802" w:rsidRPr="008E63A1" w:rsidRDefault="001E4802" w:rsidP="001E480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63A1">
        <w:rPr>
          <w:rFonts w:ascii="Times New Roman" w:hAnsi="Times New Roman"/>
          <w:b/>
          <w:sz w:val="24"/>
          <w:szCs w:val="24"/>
          <w:lang w:val="uk-UA"/>
        </w:rPr>
        <w:t>3. Фінансування Програми</w:t>
      </w:r>
    </w:p>
    <w:p w:rsidR="001E4802" w:rsidRDefault="001E4802" w:rsidP="001E4802">
      <w:pPr>
        <w:pStyle w:val="a3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 xml:space="preserve"> Фінансування Програми здійснюватиметься відповідно до орієнтовного обсягу видатків на виконання заходів Програми, відзначення державних та професійних свят, ювілейних дат, заохочення за заслуги перед </w:t>
      </w:r>
      <w:r>
        <w:rPr>
          <w:rFonts w:ascii="Times New Roman" w:hAnsi="Times New Roman"/>
          <w:sz w:val="24"/>
          <w:szCs w:val="24"/>
          <w:lang w:val="uk-UA"/>
        </w:rPr>
        <w:t>Білоцерківською міською територіальною громадою</w:t>
      </w:r>
      <w:r w:rsidRPr="008E63A1">
        <w:rPr>
          <w:rFonts w:ascii="Times New Roman" w:hAnsi="Times New Roman"/>
          <w:sz w:val="24"/>
          <w:szCs w:val="24"/>
          <w:lang w:val="uk-UA"/>
        </w:rPr>
        <w:t>, здійснення представницьких та інших заходів на 202</w:t>
      </w:r>
      <w:r w:rsidR="00095C61">
        <w:rPr>
          <w:rFonts w:ascii="Times New Roman" w:hAnsi="Times New Roman"/>
          <w:sz w:val="24"/>
          <w:szCs w:val="24"/>
          <w:lang w:val="uk-UA"/>
        </w:rPr>
        <w:t>3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рік за рахунок коштів </w:t>
      </w:r>
      <w:r>
        <w:rPr>
          <w:rFonts w:ascii="Times New Roman" w:hAnsi="Times New Roman"/>
          <w:sz w:val="24"/>
          <w:szCs w:val="24"/>
          <w:lang w:val="uk-UA"/>
        </w:rPr>
        <w:t>Білоцерківської міської територіальної громади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та інших джерел відповідно до чинного законодавства України. </w:t>
      </w:r>
    </w:p>
    <w:p w:rsidR="001E4802" w:rsidRPr="000F19BD" w:rsidRDefault="001E4802" w:rsidP="001E4802">
      <w:pPr>
        <w:pStyle w:val="a3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E4802" w:rsidRPr="008E63A1" w:rsidRDefault="001E4802" w:rsidP="001E480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63A1">
        <w:rPr>
          <w:rFonts w:ascii="Times New Roman" w:hAnsi="Times New Roman"/>
          <w:b/>
          <w:sz w:val="24"/>
          <w:szCs w:val="24"/>
          <w:lang w:val="uk-UA"/>
        </w:rPr>
        <w:t>4. Заходи щодо реалізації Програми</w:t>
      </w:r>
    </w:p>
    <w:p w:rsidR="001E4802" w:rsidRPr="008E63A1" w:rsidRDefault="001E4802" w:rsidP="001E480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 xml:space="preserve">4.1. Відзначення державних свят, визначних подій держави, які встановлені актами Президента України, Уряду України із врученням  Грамот, Подяк Білоцерківської міської ради і виконавчого комітету, нагрудних знаків </w:t>
      </w:r>
      <w:r w:rsidRPr="007A3218">
        <w:rPr>
          <w:rStyle w:val="FontStyle14"/>
          <w:sz w:val="24"/>
          <w:szCs w:val="24"/>
          <w:lang w:val="uk-UA" w:eastAsia="uk-UA"/>
        </w:rPr>
        <w:t>Білоцерківської міської ради і виконавчого комітету</w:t>
      </w:r>
      <w:r w:rsidRPr="007A3218">
        <w:rPr>
          <w:rFonts w:ascii="Times New Roman" w:hAnsi="Times New Roman"/>
          <w:sz w:val="24"/>
          <w:szCs w:val="24"/>
          <w:lang w:val="uk-UA"/>
        </w:rPr>
        <w:t>,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відповідно до чинного законодавства.</w:t>
      </w:r>
    </w:p>
    <w:p w:rsidR="001E4802" w:rsidRPr="008E63A1" w:rsidRDefault="001E4802" w:rsidP="001E4802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 w:rsidR="008438BD">
        <w:rPr>
          <w:rFonts w:ascii="Times New Roman" w:hAnsi="Times New Roman"/>
          <w:sz w:val="24"/>
          <w:szCs w:val="24"/>
          <w:lang w:val="uk-UA"/>
        </w:rPr>
        <w:t xml:space="preserve">управління персоналом 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E4802" w:rsidRPr="008E63A1" w:rsidRDefault="001E4802" w:rsidP="001E4802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>Білоцерківської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E4802" w:rsidRDefault="001E4802" w:rsidP="001E480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4802" w:rsidRPr="008E63A1" w:rsidRDefault="001E4802" w:rsidP="001E480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 xml:space="preserve">4.2. Відзначення свят та подій, які проводяться відповідно до розпоряджень міського голови, рішення виконавчого комітету із врученням Грамот, Подяк Білоцерківської міської ради і виконавчого комітету, нагрудних знаків </w:t>
      </w:r>
      <w:r w:rsidRPr="007A3218">
        <w:rPr>
          <w:rStyle w:val="FontStyle14"/>
          <w:sz w:val="24"/>
          <w:szCs w:val="24"/>
          <w:lang w:val="uk-UA" w:eastAsia="uk-UA"/>
        </w:rPr>
        <w:t>Білоцерківської міської ради і виконавчого комітету</w:t>
      </w:r>
      <w:r w:rsidRPr="007A3218">
        <w:rPr>
          <w:rFonts w:ascii="Times New Roman" w:hAnsi="Times New Roman"/>
          <w:sz w:val="24"/>
          <w:szCs w:val="24"/>
          <w:lang w:val="uk-UA"/>
        </w:rPr>
        <w:t>,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відповідно до чинного законодавства.</w:t>
      </w:r>
    </w:p>
    <w:p w:rsidR="008438BD" w:rsidRPr="008E63A1" w:rsidRDefault="008438BD" w:rsidP="008438BD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персоналом 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438BD" w:rsidRPr="008E63A1" w:rsidRDefault="008438BD" w:rsidP="008438BD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>Білоцерківської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E4802" w:rsidRPr="008E63A1" w:rsidRDefault="001E4802" w:rsidP="001E4802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Управління економіки Білоцерківської міської </w:t>
      </w:r>
    </w:p>
    <w:p w:rsidR="001E4802" w:rsidRDefault="001E4802" w:rsidP="001E4802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ради</w:t>
      </w:r>
    </w:p>
    <w:p w:rsidR="001E4802" w:rsidRPr="008E63A1" w:rsidRDefault="001E4802" w:rsidP="001E4802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 xml:space="preserve"> 4.3. Відзначення ювілейних дат підприємств, установ, організацій та окремих осіб із врученням  Грамот, Подяк Білоцерківської міської ради і виконавчого комітету, нагрудних знаків </w:t>
      </w:r>
      <w:r w:rsidRPr="00EA4DE1">
        <w:rPr>
          <w:rStyle w:val="FontStyle14"/>
          <w:sz w:val="24"/>
          <w:szCs w:val="24"/>
          <w:lang w:val="uk-UA" w:eastAsia="uk-UA"/>
        </w:rPr>
        <w:t>Білоцерківської міської ради і виконавчого комітету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, відповідно до чинного законодавства.                                                                      </w:t>
      </w:r>
    </w:p>
    <w:p w:rsidR="008438BD" w:rsidRDefault="008438BD" w:rsidP="001E4802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</w:p>
    <w:p w:rsidR="008438BD" w:rsidRPr="008E63A1" w:rsidRDefault="008438BD" w:rsidP="008438BD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персоналом 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438BD" w:rsidRPr="008E63A1" w:rsidRDefault="008438BD" w:rsidP="008438BD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>Білоцерківської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E4802" w:rsidRPr="008E63A1" w:rsidRDefault="001E4802" w:rsidP="001E480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4.4. Відзначення колективів підприємств, установ і організацій та окремих осіб за високі трудові здобутки із врученням Грамот і Подяк Білоцерківської міської ради і виконавчого комітету, нагрудних знаків</w:t>
      </w:r>
      <w:r w:rsidR="009909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19BD">
        <w:rPr>
          <w:rStyle w:val="FontStyle14"/>
          <w:lang w:val="uk-UA" w:eastAsia="uk-UA"/>
        </w:rPr>
        <w:t>Білоцерківської міської ради і виконавчого комітету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, відповідно до чинного законодавства.                                                                       </w:t>
      </w:r>
    </w:p>
    <w:p w:rsidR="009909EF" w:rsidRPr="008E63A1" w:rsidRDefault="009909EF" w:rsidP="009909EF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персоналом 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09EF" w:rsidRPr="008E63A1" w:rsidRDefault="009909EF" w:rsidP="009909EF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>Білоцерківської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909EF" w:rsidRDefault="009909EF" w:rsidP="001E480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4802" w:rsidRPr="008E63A1" w:rsidRDefault="001E4802" w:rsidP="001E480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 xml:space="preserve">4.5. Відзначення професійних та інших свят, які встановлені відповідно до указів Президента України із врученням Грамот і Подяк Білоцерківської міської ради і виконавчого комітету, нагрудних знаків </w:t>
      </w:r>
      <w:r w:rsidRPr="00B41C9D">
        <w:rPr>
          <w:rStyle w:val="FontStyle14"/>
          <w:sz w:val="24"/>
          <w:szCs w:val="24"/>
          <w:lang w:val="uk-UA" w:eastAsia="uk-UA"/>
        </w:rPr>
        <w:t>Білоцерківської міської ради і виконавчого комітету</w:t>
      </w:r>
      <w:r w:rsidRPr="00B41C9D">
        <w:rPr>
          <w:rFonts w:ascii="Times New Roman" w:hAnsi="Times New Roman"/>
          <w:sz w:val="24"/>
          <w:szCs w:val="24"/>
          <w:lang w:val="uk-UA"/>
        </w:rPr>
        <w:t>,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відповідно до чинного законодавства. </w:t>
      </w:r>
    </w:p>
    <w:p w:rsidR="009909EF" w:rsidRPr="008E63A1" w:rsidRDefault="009909EF" w:rsidP="009909EF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персоналом 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09EF" w:rsidRPr="008E63A1" w:rsidRDefault="009909EF" w:rsidP="009909EF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>Білоцерківської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909EF" w:rsidRDefault="009909EF" w:rsidP="001E480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4802" w:rsidRPr="008E63A1" w:rsidRDefault="001E4802" w:rsidP="001E480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 xml:space="preserve">4.6. Замовлення бланків  Грамот і Подяк Білоцерківської міської ради і виконавчого комітету, нагрудних знаків </w:t>
      </w:r>
      <w:r w:rsidRPr="00B41C9D">
        <w:rPr>
          <w:rStyle w:val="FontStyle14"/>
          <w:sz w:val="24"/>
          <w:szCs w:val="24"/>
          <w:lang w:val="uk-UA" w:eastAsia="uk-UA"/>
        </w:rPr>
        <w:t>Білоцерківської міської ради і виконавчого комітету</w:t>
      </w:r>
      <w:r w:rsidRPr="00B41C9D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футлярів до нагрудних знаків, </w:t>
      </w:r>
      <w:r w:rsidRPr="008E63A1">
        <w:rPr>
          <w:rFonts w:ascii="Times New Roman" w:hAnsi="Times New Roman"/>
          <w:sz w:val="24"/>
          <w:szCs w:val="24"/>
          <w:lang w:val="uk-UA"/>
        </w:rPr>
        <w:t>посвідчень, затверджених в установленому порядку, для відзначення та заохочення підприємств, установ та організацій і окремих осіб.</w:t>
      </w:r>
    </w:p>
    <w:p w:rsidR="009909EF" w:rsidRPr="008E63A1" w:rsidRDefault="009909EF" w:rsidP="009909EF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персоналом 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09EF" w:rsidRPr="008E63A1" w:rsidRDefault="009909EF" w:rsidP="009909EF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>Білоцерківської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909EF" w:rsidRDefault="009909EF" w:rsidP="001E4802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бухгалтерського обліку та звітності  </w:t>
      </w:r>
    </w:p>
    <w:p w:rsidR="009909EF" w:rsidRDefault="009909EF" w:rsidP="001E4802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виконавчого комітету Білоцерківської міської                       </w:t>
      </w:r>
    </w:p>
    <w:p w:rsidR="009909EF" w:rsidRDefault="009909EF" w:rsidP="001E4802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ради</w:t>
      </w:r>
    </w:p>
    <w:p w:rsidR="009909EF" w:rsidRDefault="009909EF" w:rsidP="001E480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4802" w:rsidRPr="008E63A1" w:rsidRDefault="001E4802" w:rsidP="001E480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>4.7. Замовлення подарунків для урочистих заходів та представницьких цілей.</w:t>
      </w:r>
    </w:p>
    <w:p w:rsidR="009909EF" w:rsidRPr="008E63A1" w:rsidRDefault="009909EF" w:rsidP="009909EF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персоналом 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09EF" w:rsidRPr="008E63A1" w:rsidRDefault="009909EF" w:rsidP="009909EF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>Білоцерківської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909EF" w:rsidRDefault="009909EF" w:rsidP="009909EF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бухгалтерського обліку та звітності  </w:t>
      </w:r>
    </w:p>
    <w:p w:rsidR="009909EF" w:rsidRDefault="009909EF" w:rsidP="009909EF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виконавчого комітету Білоцерківської міської                       </w:t>
      </w:r>
    </w:p>
    <w:p w:rsidR="009909EF" w:rsidRDefault="009909EF" w:rsidP="009909EF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ради</w:t>
      </w:r>
    </w:p>
    <w:p w:rsidR="009909EF" w:rsidRDefault="009909EF" w:rsidP="001E480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4802" w:rsidRPr="008E63A1" w:rsidRDefault="001E4802" w:rsidP="001E480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ab/>
        <w:t>4.8. Замовлення квіткової продукції.</w:t>
      </w:r>
    </w:p>
    <w:p w:rsidR="009909EF" w:rsidRDefault="009909EF" w:rsidP="009909EF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бухгалтерського обліку та звітності  </w:t>
      </w:r>
    </w:p>
    <w:p w:rsidR="009909EF" w:rsidRDefault="009909EF" w:rsidP="009909EF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виконавчого комітету Білоцерківської міської                       </w:t>
      </w:r>
    </w:p>
    <w:p w:rsidR="009909EF" w:rsidRDefault="009909EF" w:rsidP="009909EF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ради</w:t>
      </w:r>
    </w:p>
    <w:p w:rsidR="001E4802" w:rsidRPr="008E63A1" w:rsidRDefault="001E4802" w:rsidP="001E4802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4802" w:rsidRPr="008E63A1" w:rsidRDefault="001E4802" w:rsidP="001E480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>4.9. Замовлення друкованої продукції, у тому числі  оплата поліграфічних послуг.</w:t>
      </w:r>
    </w:p>
    <w:p w:rsidR="004B6841" w:rsidRPr="008E63A1" w:rsidRDefault="004B6841" w:rsidP="004B6841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персоналом 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B6841" w:rsidRPr="008E63A1" w:rsidRDefault="004B6841" w:rsidP="004B6841">
      <w:pPr>
        <w:pStyle w:val="a3"/>
        <w:ind w:right="175" w:firstLine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>Білоцерківської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B6841" w:rsidRDefault="004B6841" w:rsidP="004B6841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бухгалтерського обліку та звітності  </w:t>
      </w:r>
    </w:p>
    <w:p w:rsidR="004B6841" w:rsidRDefault="004B6841" w:rsidP="004B6841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виконавчого комітету Білоцерківської міської                       </w:t>
      </w:r>
    </w:p>
    <w:p w:rsidR="004B6841" w:rsidRDefault="004B6841" w:rsidP="004B6841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ради</w:t>
      </w:r>
    </w:p>
    <w:p w:rsidR="001E4802" w:rsidRDefault="001E4802" w:rsidP="001E480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4802" w:rsidRPr="008E63A1" w:rsidRDefault="001E4802" w:rsidP="001E480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Pr="008E63A1">
        <w:rPr>
          <w:rFonts w:ascii="Times New Roman" w:hAnsi="Times New Roman"/>
          <w:sz w:val="24"/>
          <w:szCs w:val="24"/>
          <w:lang w:val="uk-UA"/>
        </w:rPr>
        <w:t>10. Оплата обслуговування заходів транспортними засобами.</w:t>
      </w:r>
    </w:p>
    <w:p w:rsidR="001E4802" w:rsidRPr="008E63A1" w:rsidRDefault="001E4802" w:rsidP="001E4802">
      <w:pPr>
        <w:pStyle w:val="a3"/>
        <w:ind w:left="4500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>Відділ</w:t>
      </w:r>
      <w:r w:rsidR="004B684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63A1">
        <w:rPr>
          <w:rFonts w:ascii="Times New Roman" w:hAnsi="Times New Roman"/>
          <w:sz w:val="24"/>
          <w:szCs w:val="24"/>
          <w:lang w:val="uk-UA"/>
        </w:rPr>
        <w:t>транспорту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 зв’язку Білоцерківської міської ради;</w:t>
      </w:r>
    </w:p>
    <w:p w:rsidR="004B6841" w:rsidRDefault="004B6841" w:rsidP="004B6841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бухгалтерського обліку та звітності  </w:t>
      </w:r>
    </w:p>
    <w:p w:rsidR="004B6841" w:rsidRDefault="004B6841" w:rsidP="004B6841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виконавчого комітету Білоцерківської міської                       </w:t>
      </w:r>
    </w:p>
    <w:p w:rsidR="004B6841" w:rsidRDefault="004B6841" w:rsidP="004B6841">
      <w:pPr>
        <w:pStyle w:val="a3"/>
        <w:ind w:firstLine="45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ради</w:t>
      </w:r>
    </w:p>
    <w:p w:rsidR="001E4802" w:rsidRPr="008E63A1" w:rsidRDefault="001E4802" w:rsidP="001E4802">
      <w:pPr>
        <w:pStyle w:val="a3"/>
        <w:ind w:left="4500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E4802" w:rsidRDefault="001E4802" w:rsidP="001E480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E4802" w:rsidRPr="008E63A1" w:rsidRDefault="001E4802" w:rsidP="001E480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63A1">
        <w:rPr>
          <w:rFonts w:ascii="Times New Roman" w:hAnsi="Times New Roman"/>
          <w:b/>
          <w:sz w:val="24"/>
          <w:szCs w:val="24"/>
          <w:lang w:val="uk-UA"/>
        </w:rPr>
        <w:t>5. Очікувані результати виконання Програми</w:t>
      </w:r>
    </w:p>
    <w:p w:rsidR="001E4802" w:rsidRPr="008E63A1" w:rsidRDefault="001E4802" w:rsidP="001E480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63A1">
        <w:rPr>
          <w:rFonts w:ascii="Times New Roman" w:hAnsi="Times New Roman"/>
          <w:sz w:val="24"/>
          <w:szCs w:val="24"/>
          <w:lang w:val="uk-UA"/>
        </w:rPr>
        <w:tab/>
        <w:t xml:space="preserve">Виконання Програми буде сприяти підвищенню патріотизму, національної свідомості, соціальної активності жителів </w:t>
      </w:r>
      <w:r>
        <w:rPr>
          <w:rFonts w:ascii="Times New Roman" w:hAnsi="Times New Roman"/>
          <w:sz w:val="24"/>
          <w:szCs w:val="24"/>
          <w:lang w:val="uk-UA"/>
        </w:rPr>
        <w:t>Білоцерківської міської територіальної громади</w:t>
      </w:r>
      <w:r w:rsidRPr="008E63A1">
        <w:rPr>
          <w:rFonts w:ascii="Times New Roman" w:hAnsi="Times New Roman"/>
          <w:sz w:val="24"/>
          <w:szCs w:val="24"/>
          <w:lang w:val="uk-UA"/>
        </w:rPr>
        <w:t xml:space="preserve">, покращенню економічного стану та іміджу </w:t>
      </w:r>
      <w:r>
        <w:rPr>
          <w:rFonts w:ascii="Times New Roman" w:hAnsi="Times New Roman"/>
          <w:sz w:val="24"/>
          <w:szCs w:val="24"/>
          <w:lang w:val="uk-UA"/>
        </w:rPr>
        <w:t xml:space="preserve">громади. </w:t>
      </w:r>
    </w:p>
    <w:p w:rsidR="001E4802" w:rsidRDefault="001E4802" w:rsidP="001E480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4802" w:rsidRPr="00B512D3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Pr="007A3218" w:rsidRDefault="001E4802" w:rsidP="001E4802">
      <w:pPr>
        <w:pStyle w:val="Style2"/>
        <w:widowControl/>
        <w:spacing w:line="240" w:lineRule="auto"/>
        <w:ind w:left="1418" w:right="1497"/>
        <w:rPr>
          <w:rStyle w:val="FontStyle14"/>
          <w:sz w:val="24"/>
          <w:szCs w:val="24"/>
          <w:lang w:val="uk-UA" w:eastAsia="uk-UA"/>
        </w:rPr>
      </w:pPr>
      <w:r w:rsidRPr="007A3218">
        <w:rPr>
          <w:rStyle w:val="FontStyle14"/>
          <w:sz w:val="24"/>
          <w:szCs w:val="24"/>
          <w:lang w:val="uk-UA" w:eastAsia="uk-UA"/>
        </w:rPr>
        <w:t xml:space="preserve">Обсяг видатків на виконання заходів </w:t>
      </w:r>
    </w:p>
    <w:p w:rsidR="001E4802" w:rsidRPr="007A3218" w:rsidRDefault="001E4802" w:rsidP="001E4802">
      <w:pPr>
        <w:pStyle w:val="Style2"/>
        <w:widowControl/>
        <w:spacing w:line="240" w:lineRule="auto"/>
        <w:ind w:left="1418" w:right="1497"/>
        <w:rPr>
          <w:rStyle w:val="FontStyle14"/>
          <w:sz w:val="24"/>
          <w:szCs w:val="24"/>
          <w:lang w:val="uk-UA" w:eastAsia="uk-UA"/>
        </w:rPr>
      </w:pPr>
      <w:r w:rsidRPr="007A3218">
        <w:rPr>
          <w:rStyle w:val="FontStyle14"/>
          <w:sz w:val="24"/>
          <w:szCs w:val="24"/>
          <w:lang w:val="uk-UA" w:eastAsia="uk-UA"/>
        </w:rPr>
        <w:t xml:space="preserve">Програми відзначення державних та професійних свят, ювілейних дат, заохочення за заслуги перед </w:t>
      </w:r>
      <w:r w:rsidRPr="007A3218">
        <w:rPr>
          <w:lang w:val="uk-UA"/>
        </w:rPr>
        <w:t>Білоцерківською міською територіальною громадою</w:t>
      </w:r>
      <w:r w:rsidRPr="007A3218">
        <w:rPr>
          <w:rStyle w:val="FontStyle14"/>
          <w:sz w:val="24"/>
          <w:szCs w:val="24"/>
          <w:lang w:val="uk-UA" w:eastAsia="uk-UA"/>
        </w:rPr>
        <w:t>, здійснення представницьких та інших заходів на 202</w:t>
      </w:r>
      <w:r w:rsidR="00095C61">
        <w:rPr>
          <w:rStyle w:val="FontStyle14"/>
          <w:sz w:val="24"/>
          <w:szCs w:val="24"/>
          <w:lang w:val="uk-UA" w:eastAsia="uk-UA"/>
        </w:rPr>
        <w:t>3</w:t>
      </w:r>
      <w:r w:rsidRPr="007A3218">
        <w:rPr>
          <w:rStyle w:val="FontStyle14"/>
          <w:sz w:val="24"/>
          <w:szCs w:val="24"/>
          <w:lang w:val="uk-UA" w:eastAsia="uk-UA"/>
        </w:rPr>
        <w:t xml:space="preserve"> рік</w:t>
      </w:r>
    </w:p>
    <w:p w:rsidR="001E4802" w:rsidRPr="007A3218" w:rsidRDefault="001E4802" w:rsidP="001E4802">
      <w:pPr>
        <w:pStyle w:val="Style2"/>
        <w:widowControl/>
        <w:spacing w:line="240" w:lineRule="auto"/>
        <w:ind w:left="1418" w:right="1497"/>
        <w:rPr>
          <w:rStyle w:val="FontStyle14"/>
          <w:sz w:val="24"/>
          <w:szCs w:val="24"/>
          <w:lang w:val="uk-UA" w:eastAsia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598"/>
        <w:gridCol w:w="2126"/>
        <w:gridCol w:w="1984"/>
      </w:tblGrid>
      <w:tr w:rsidR="001E4802" w:rsidRPr="007A3218" w:rsidTr="00072CAC">
        <w:tc>
          <w:tcPr>
            <w:tcW w:w="578" w:type="dxa"/>
            <w:vMerge w:val="restart"/>
          </w:tcPr>
          <w:p w:rsidR="001E4802" w:rsidRPr="007A3218" w:rsidRDefault="001E4802" w:rsidP="00072CAC">
            <w:pPr>
              <w:pStyle w:val="Style3"/>
              <w:widowControl/>
              <w:spacing w:before="38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№</w:t>
            </w:r>
          </w:p>
          <w:p w:rsidR="001E4802" w:rsidRPr="007A3218" w:rsidRDefault="001E4802" w:rsidP="00072CAC">
            <w:pPr>
              <w:pStyle w:val="Style3"/>
              <w:widowControl/>
              <w:spacing w:before="38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598" w:type="dxa"/>
            <w:vMerge w:val="restart"/>
          </w:tcPr>
          <w:p w:rsidR="001E4802" w:rsidRPr="007A3218" w:rsidRDefault="001E4802" w:rsidP="00072CAC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Перелік витрат</w:t>
            </w:r>
          </w:p>
        </w:tc>
        <w:tc>
          <w:tcPr>
            <w:tcW w:w="2126" w:type="dxa"/>
            <w:vMerge w:val="restart"/>
          </w:tcPr>
          <w:p w:rsidR="001E4802" w:rsidRPr="007A3218" w:rsidRDefault="001E4802" w:rsidP="00072CAC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 xml:space="preserve">Головні розпорядники коштів </w:t>
            </w:r>
          </w:p>
        </w:tc>
        <w:tc>
          <w:tcPr>
            <w:tcW w:w="1984" w:type="dxa"/>
            <w:vAlign w:val="center"/>
          </w:tcPr>
          <w:p w:rsidR="001E4802" w:rsidRPr="007A3218" w:rsidRDefault="004B6841" w:rsidP="00095C61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202</w:t>
            </w:r>
            <w:r w:rsidR="00095C61">
              <w:rPr>
                <w:rStyle w:val="FontStyle14"/>
                <w:sz w:val="24"/>
                <w:szCs w:val="24"/>
                <w:lang w:val="uk-UA" w:eastAsia="uk-UA"/>
              </w:rPr>
              <w:t>3</w:t>
            </w:r>
            <w:r w:rsidR="001E4802" w:rsidRPr="007A3218">
              <w:rPr>
                <w:rStyle w:val="FontStyle14"/>
                <w:sz w:val="24"/>
                <w:szCs w:val="24"/>
                <w:lang w:val="uk-UA" w:eastAsia="uk-UA"/>
              </w:rPr>
              <w:t xml:space="preserve"> рік</w:t>
            </w:r>
          </w:p>
        </w:tc>
      </w:tr>
      <w:tr w:rsidR="001E4802" w:rsidRPr="007A3218" w:rsidTr="00072CAC">
        <w:tc>
          <w:tcPr>
            <w:tcW w:w="578" w:type="dxa"/>
            <w:vMerge/>
            <w:vAlign w:val="center"/>
          </w:tcPr>
          <w:p w:rsidR="001E4802" w:rsidRPr="007A3218" w:rsidRDefault="001E4802" w:rsidP="00072CAC">
            <w:pPr>
              <w:rPr>
                <w:rStyle w:val="FontStyle14"/>
                <w:sz w:val="24"/>
                <w:szCs w:val="24"/>
                <w:lang w:eastAsia="uk-UA"/>
              </w:rPr>
            </w:pPr>
          </w:p>
        </w:tc>
        <w:tc>
          <w:tcPr>
            <w:tcW w:w="4598" w:type="dxa"/>
            <w:vMerge/>
            <w:vAlign w:val="center"/>
          </w:tcPr>
          <w:p w:rsidR="001E4802" w:rsidRPr="007A3218" w:rsidRDefault="001E4802" w:rsidP="00072CAC">
            <w:pPr>
              <w:rPr>
                <w:rStyle w:val="FontStyle14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vMerge/>
            <w:vAlign w:val="center"/>
          </w:tcPr>
          <w:p w:rsidR="001E4802" w:rsidRPr="007A3218" w:rsidRDefault="001E4802" w:rsidP="00072CAC">
            <w:pPr>
              <w:rPr>
                <w:rStyle w:val="FontStyle14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обсяг видатків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74" w:lineRule="exact"/>
              <w:ind w:left="19" w:hanging="19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Бланки  Грамот, Подяк Білоцерківської міської ради і виконавчого комітету, посвідчень про відзначення нагрудним знаком та футляри для нагрудних знаків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 xml:space="preserve">Виконавчий комітет Білоцерківської міської ради 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50 000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78" w:lineRule="exact"/>
              <w:ind w:left="14" w:hanging="14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 xml:space="preserve">Нагрудні знаки Білоцерківської міської ради і виконавчого комітету 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60 000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88" w:lineRule="exact"/>
              <w:ind w:left="5" w:hanging="5"/>
              <w:rPr>
                <w:rStyle w:val="FontStyle15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Грошова винагорода при врученні  Грамот, Подяк та нагрудних знаків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100 000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74" w:lineRule="exact"/>
              <w:ind w:firstLine="5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lang w:val="uk-UA"/>
              </w:rPr>
              <w:t>Організація офіційних прийомів, зустрічей делегацій, конференцій, круглих столів та інших заходів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100 000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78" w:lineRule="exact"/>
              <w:ind w:firstLine="10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 xml:space="preserve">Канцтовари та сувеніри для забезпечення делегацій, </w:t>
            </w:r>
            <w:r w:rsidRPr="007A3218">
              <w:rPr>
                <w:lang w:val="uk-UA"/>
              </w:rPr>
              <w:t>конференцій, круглих столів та інших заходів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50 000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78" w:lineRule="exact"/>
              <w:ind w:firstLine="10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lang w:val="uk-UA"/>
              </w:rPr>
              <w:t>Обслуговування учасників заходів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20 000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78" w:lineRule="exact"/>
              <w:ind w:firstLine="10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lang w:val="uk-UA"/>
              </w:rPr>
              <w:t>Придбання державної та місцевої символіки та виробів з державною та місцевою символікою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60 000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78" w:lineRule="exact"/>
              <w:ind w:firstLine="10"/>
              <w:rPr>
                <w:lang w:val="uk-UA"/>
              </w:rPr>
            </w:pPr>
            <w:r w:rsidRPr="007A3218">
              <w:rPr>
                <w:lang w:val="uk-UA"/>
              </w:rPr>
              <w:t>Представницькі витрати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100 000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Квіткова продукція, ритуальна атрибутика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 xml:space="preserve">Виконавчий комітет Білоцерківської </w:t>
            </w: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lastRenderedPageBreak/>
              <w:t>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lastRenderedPageBreak/>
              <w:t>50 000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lastRenderedPageBreak/>
              <w:t>10.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Листівки вітальні з конвертами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15 000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Подарунки для урочистих заходів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30 000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Рамки для грамот та подяк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50 000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Поліграфічні послуги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20 000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Послуги технічного супроводу  офіційної частини заходу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15 000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proofErr w:type="spellStart"/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Фото-</w:t>
            </w:r>
            <w:proofErr w:type="spellEnd"/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 xml:space="preserve"> та відео послуги до заходів 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15  000</w:t>
            </w:r>
          </w:p>
        </w:tc>
      </w:tr>
      <w:tr w:rsidR="001E4802" w:rsidRPr="007A3218" w:rsidTr="00072CAC">
        <w:trPr>
          <w:trHeight w:val="595"/>
        </w:trPr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Оренда приміщень для проведення заходів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20 000</w:t>
            </w:r>
          </w:p>
        </w:tc>
      </w:tr>
      <w:tr w:rsidR="001E4802" w:rsidRPr="007A3218" w:rsidTr="00072CAC"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Транспортні витрати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20 000</w:t>
            </w:r>
          </w:p>
        </w:tc>
      </w:tr>
      <w:tr w:rsidR="001E4802" w:rsidRPr="007A3218" w:rsidTr="00072CAC">
        <w:trPr>
          <w:trHeight w:val="563"/>
        </w:trPr>
        <w:tc>
          <w:tcPr>
            <w:tcW w:w="57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1</w:t>
            </w:r>
            <w:r>
              <w:rPr>
                <w:rStyle w:val="FontStyle14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98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2126" w:type="dxa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Align w:val="center"/>
          </w:tcPr>
          <w:p w:rsidR="001E4802" w:rsidRPr="007A3218" w:rsidRDefault="001E4802" w:rsidP="00072CAC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7A3218">
              <w:rPr>
                <w:rStyle w:val="FontStyle14"/>
                <w:sz w:val="24"/>
                <w:szCs w:val="24"/>
                <w:lang w:val="uk-UA" w:eastAsia="uk-UA"/>
              </w:rPr>
              <w:t>775 000</w:t>
            </w:r>
          </w:p>
        </w:tc>
      </w:tr>
    </w:tbl>
    <w:p w:rsidR="001E4802" w:rsidRPr="007A3218" w:rsidRDefault="001E4802" w:rsidP="001E4802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1E4802" w:rsidRPr="007A3218" w:rsidRDefault="001E4802" w:rsidP="001E4802">
      <w:pPr>
        <w:pStyle w:val="1"/>
        <w:tabs>
          <w:tab w:val="left" w:pos="7230"/>
        </w:tabs>
        <w:ind w:right="3117"/>
        <w:jc w:val="left"/>
        <w:rPr>
          <w:b w:val="0"/>
          <w:sz w:val="24"/>
          <w:szCs w:val="24"/>
          <w:lang w:val="ru-RU"/>
        </w:rPr>
      </w:pPr>
    </w:p>
    <w:p w:rsidR="00095C61" w:rsidRPr="00095C61" w:rsidRDefault="00095C61" w:rsidP="00095C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5C6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095C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5C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5C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5C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5C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5C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5C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5C6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Геннадій ДИКИЙ </w:t>
      </w:r>
    </w:p>
    <w:p w:rsidR="00095C61" w:rsidRDefault="00095C61" w:rsidP="00095C61">
      <w:pPr>
        <w:pStyle w:val="a3"/>
        <w:rPr>
          <w:lang w:val="uk-UA"/>
        </w:rPr>
      </w:pPr>
    </w:p>
    <w:p w:rsidR="001E4802" w:rsidRDefault="001E4802" w:rsidP="001E4802">
      <w:pPr>
        <w:rPr>
          <w:lang w:val="uk-UA"/>
        </w:rPr>
      </w:pPr>
    </w:p>
    <w:p w:rsidR="001E4802" w:rsidRDefault="001E4802" w:rsidP="001E4802">
      <w:pPr>
        <w:rPr>
          <w:lang w:val="uk-UA"/>
        </w:rPr>
      </w:pPr>
    </w:p>
    <w:p w:rsidR="001E4802" w:rsidRDefault="001E4802" w:rsidP="001E4802">
      <w:pPr>
        <w:rPr>
          <w:lang w:val="uk-UA"/>
        </w:rPr>
      </w:pPr>
    </w:p>
    <w:p w:rsidR="001E4802" w:rsidRDefault="001E4802" w:rsidP="001E4802">
      <w:pPr>
        <w:rPr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E4802" w:rsidRDefault="001E4802" w:rsidP="001E48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041AE" w:rsidRDefault="007041AE"/>
    <w:sectPr w:rsidR="007041AE" w:rsidSect="00826D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802"/>
    <w:rsid w:val="00095C61"/>
    <w:rsid w:val="001E4802"/>
    <w:rsid w:val="003C5A0B"/>
    <w:rsid w:val="004B6841"/>
    <w:rsid w:val="00542120"/>
    <w:rsid w:val="00554F88"/>
    <w:rsid w:val="005B155B"/>
    <w:rsid w:val="007041AE"/>
    <w:rsid w:val="008438BD"/>
    <w:rsid w:val="009909EF"/>
    <w:rsid w:val="00A56DA4"/>
    <w:rsid w:val="00B3575D"/>
    <w:rsid w:val="00B9748F"/>
    <w:rsid w:val="00BE143B"/>
    <w:rsid w:val="00E4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5B"/>
  </w:style>
  <w:style w:type="paragraph" w:styleId="1">
    <w:name w:val="heading 1"/>
    <w:basedOn w:val="a"/>
    <w:next w:val="a"/>
    <w:link w:val="10"/>
    <w:uiPriority w:val="99"/>
    <w:qFormat/>
    <w:rsid w:val="001E48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8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4802"/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customStyle="1" w:styleId="Style2">
    <w:name w:val="Style2"/>
    <w:basedOn w:val="a"/>
    <w:uiPriority w:val="99"/>
    <w:rsid w:val="001E4802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4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E480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E480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1E4802"/>
    <w:rPr>
      <w:rFonts w:ascii="Times New Roman" w:hAnsi="Times New Roman" w:cs="Times New Roman"/>
      <w:i/>
      <w:iCs/>
      <w:smallCap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2022-11-14T10:05:00Z</cp:lastPrinted>
  <dcterms:created xsi:type="dcterms:W3CDTF">2021-09-10T09:25:00Z</dcterms:created>
  <dcterms:modified xsi:type="dcterms:W3CDTF">2022-11-14T10:15:00Z</dcterms:modified>
</cp:coreProperties>
</file>